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4C16" w14:textId="77777777" w:rsidR="00A31D89" w:rsidRDefault="00A31D89" w:rsidP="00A31D89">
      <w:pPr>
        <w:pStyle w:val="BodyText"/>
        <w:spacing w:before="34"/>
        <w:jc w:val="center"/>
        <w:rPr>
          <w:spacing w:val="-5"/>
          <w:sz w:val="28"/>
          <w:szCs w:val="28"/>
          <w:u w:val="single"/>
        </w:rPr>
      </w:pPr>
      <w:r w:rsidRPr="00A31D89">
        <w:rPr>
          <w:sz w:val="28"/>
          <w:szCs w:val="28"/>
          <w:u w:val="single"/>
        </w:rPr>
        <w:t>Behandelcriteria</w:t>
      </w:r>
      <w:r w:rsidRPr="00A31D89">
        <w:rPr>
          <w:spacing w:val="-9"/>
          <w:sz w:val="28"/>
          <w:szCs w:val="28"/>
          <w:u w:val="single"/>
        </w:rPr>
        <w:t xml:space="preserve"> </w:t>
      </w:r>
      <w:proofErr w:type="spellStart"/>
      <w:r w:rsidRPr="00A31D89">
        <w:rPr>
          <w:sz w:val="28"/>
          <w:szCs w:val="28"/>
          <w:u w:val="single"/>
        </w:rPr>
        <w:t>burosumab</w:t>
      </w:r>
      <w:proofErr w:type="spellEnd"/>
      <w:r w:rsidRPr="00A31D89">
        <w:rPr>
          <w:spacing w:val="-5"/>
          <w:sz w:val="28"/>
          <w:szCs w:val="28"/>
          <w:u w:val="single"/>
        </w:rPr>
        <w:t xml:space="preserve"> </w:t>
      </w:r>
      <w:r w:rsidRPr="00A31D89">
        <w:rPr>
          <w:sz w:val="28"/>
          <w:szCs w:val="28"/>
          <w:u w:val="single"/>
        </w:rPr>
        <w:t>bij</w:t>
      </w:r>
      <w:r w:rsidRPr="00A31D89">
        <w:rPr>
          <w:spacing w:val="-7"/>
          <w:sz w:val="28"/>
          <w:szCs w:val="28"/>
          <w:u w:val="single"/>
        </w:rPr>
        <w:t xml:space="preserve"> </w:t>
      </w:r>
      <w:r w:rsidRPr="00A31D89">
        <w:rPr>
          <w:sz w:val="28"/>
          <w:szCs w:val="28"/>
          <w:u w:val="single"/>
        </w:rPr>
        <w:t>kinderen</w:t>
      </w:r>
      <w:r w:rsidRPr="00A31D89">
        <w:rPr>
          <w:spacing w:val="-8"/>
          <w:sz w:val="28"/>
          <w:szCs w:val="28"/>
          <w:u w:val="single"/>
        </w:rPr>
        <w:t xml:space="preserve"> </w:t>
      </w:r>
      <w:r w:rsidRPr="00A31D89">
        <w:rPr>
          <w:sz w:val="28"/>
          <w:szCs w:val="28"/>
          <w:u w:val="single"/>
        </w:rPr>
        <w:t>en</w:t>
      </w:r>
      <w:r w:rsidRPr="00A31D89">
        <w:rPr>
          <w:spacing w:val="-6"/>
          <w:sz w:val="28"/>
          <w:szCs w:val="28"/>
          <w:u w:val="single"/>
        </w:rPr>
        <w:t xml:space="preserve"> </w:t>
      </w:r>
      <w:r w:rsidRPr="00A31D89">
        <w:rPr>
          <w:sz w:val="28"/>
          <w:szCs w:val="28"/>
          <w:u w:val="single"/>
        </w:rPr>
        <w:t>volwassenen</w:t>
      </w:r>
      <w:r w:rsidRPr="00A31D89">
        <w:rPr>
          <w:spacing w:val="-7"/>
          <w:sz w:val="28"/>
          <w:szCs w:val="28"/>
          <w:u w:val="single"/>
        </w:rPr>
        <w:t xml:space="preserve"> </w:t>
      </w:r>
      <w:r w:rsidRPr="00A31D89">
        <w:rPr>
          <w:sz w:val="28"/>
          <w:szCs w:val="28"/>
          <w:u w:val="single"/>
        </w:rPr>
        <w:t>met</w:t>
      </w:r>
      <w:r w:rsidRPr="00A31D89">
        <w:rPr>
          <w:spacing w:val="-5"/>
          <w:sz w:val="28"/>
          <w:szCs w:val="28"/>
          <w:u w:val="single"/>
        </w:rPr>
        <w:t xml:space="preserve"> </w:t>
      </w:r>
    </w:p>
    <w:p w14:paraId="7BB5F6BE" w14:textId="34031415" w:rsidR="00861D40" w:rsidRPr="00A31D89" w:rsidRDefault="00A31D89" w:rsidP="00A31D89">
      <w:pPr>
        <w:pStyle w:val="BodyText"/>
        <w:spacing w:before="34"/>
        <w:jc w:val="center"/>
        <w:rPr>
          <w:sz w:val="28"/>
          <w:szCs w:val="28"/>
        </w:rPr>
      </w:pPr>
      <w:r w:rsidRPr="00A31D89">
        <w:rPr>
          <w:sz w:val="28"/>
          <w:szCs w:val="28"/>
          <w:u w:val="single"/>
        </w:rPr>
        <w:t>X-gebonden</w:t>
      </w:r>
      <w:r w:rsidRPr="00A31D89">
        <w:rPr>
          <w:spacing w:val="-7"/>
          <w:sz w:val="28"/>
          <w:szCs w:val="28"/>
          <w:u w:val="single"/>
        </w:rPr>
        <w:t xml:space="preserve"> </w:t>
      </w:r>
      <w:proofErr w:type="spellStart"/>
      <w:r w:rsidRPr="00A31D89">
        <w:rPr>
          <w:sz w:val="28"/>
          <w:szCs w:val="28"/>
          <w:u w:val="single"/>
        </w:rPr>
        <w:t>hypofosfatemie</w:t>
      </w:r>
      <w:proofErr w:type="spellEnd"/>
      <w:r w:rsidRPr="00A31D89">
        <w:rPr>
          <w:spacing w:val="-4"/>
          <w:sz w:val="28"/>
          <w:szCs w:val="28"/>
          <w:u w:val="single"/>
        </w:rPr>
        <w:t xml:space="preserve"> </w:t>
      </w:r>
      <w:r w:rsidRPr="00A31D89">
        <w:rPr>
          <w:spacing w:val="-2"/>
          <w:sz w:val="28"/>
          <w:szCs w:val="28"/>
          <w:u w:val="single"/>
        </w:rPr>
        <w:t>(XLH)</w:t>
      </w:r>
    </w:p>
    <w:p w14:paraId="0EC7CF96" w14:textId="77777777" w:rsidR="00861D40" w:rsidRDefault="00861D40">
      <w:pPr>
        <w:pStyle w:val="BodyText"/>
        <w:spacing w:before="83"/>
        <w:ind w:left="0"/>
      </w:pPr>
    </w:p>
    <w:p w14:paraId="22736B03" w14:textId="77777777" w:rsidR="00861D40" w:rsidRDefault="00A31D89">
      <w:pPr>
        <w:pStyle w:val="Heading1"/>
        <w:spacing w:after="39"/>
        <w:ind w:left="141" w:firstLine="0"/>
      </w:pPr>
      <w:r>
        <w:rPr>
          <w:spacing w:val="-2"/>
        </w:rPr>
        <w:t>Versiegeschiedenis</w:t>
      </w: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1774"/>
        <w:gridCol w:w="2400"/>
        <w:gridCol w:w="4188"/>
      </w:tblGrid>
      <w:tr w:rsidR="00861D40" w14:paraId="437F9FE1" w14:textId="77777777">
        <w:trPr>
          <w:trHeight w:val="309"/>
        </w:trPr>
        <w:tc>
          <w:tcPr>
            <w:tcW w:w="818" w:type="dxa"/>
          </w:tcPr>
          <w:p w14:paraId="40DD0A70" w14:textId="77777777" w:rsidR="00861D40" w:rsidRDefault="00A31D89">
            <w:pPr>
              <w:pStyle w:val="TableParagraph"/>
              <w:spacing w:before="1" w:line="240" w:lineRule="auto"/>
              <w:ind w:left="110"/>
              <w:rPr>
                <w:b/>
              </w:rPr>
            </w:pPr>
            <w:r>
              <w:rPr>
                <w:b/>
                <w:spacing w:val="-2"/>
              </w:rPr>
              <w:t>Versie</w:t>
            </w:r>
          </w:p>
        </w:tc>
        <w:tc>
          <w:tcPr>
            <w:tcW w:w="1774" w:type="dxa"/>
          </w:tcPr>
          <w:p w14:paraId="7AE634F0" w14:textId="77777777" w:rsidR="00861D40" w:rsidRDefault="00A31D89">
            <w:pPr>
              <w:pStyle w:val="TableParagraph"/>
              <w:spacing w:before="1" w:line="240" w:lineRule="auto"/>
              <w:rPr>
                <w:b/>
              </w:rPr>
            </w:pPr>
            <w:r>
              <w:rPr>
                <w:b/>
              </w:rPr>
              <w:t>Aangepast</w:t>
            </w:r>
            <w:r>
              <w:rPr>
                <w:b/>
                <w:spacing w:val="-7"/>
              </w:rPr>
              <w:t xml:space="preserve"> </w:t>
            </w:r>
            <w:r>
              <w:rPr>
                <w:b/>
                <w:spacing w:val="-4"/>
              </w:rPr>
              <w:t>door</w:t>
            </w:r>
          </w:p>
        </w:tc>
        <w:tc>
          <w:tcPr>
            <w:tcW w:w="2400" w:type="dxa"/>
          </w:tcPr>
          <w:p w14:paraId="6C89DB9D" w14:textId="77777777" w:rsidR="00861D40" w:rsidRDefault="00A31D89">
            <w:pPr>
              <w:pStyle w:val="TableParagraph"/>
              <w:spacing w:before="1" w:line="240" w:lineRule="auto"/>
              <w:rPr>
                <w:b/>
              </w:rPr>
            </w:pPr>
            <w:r>
              <w:rPr>
                <w:b/>
              </w:rPr>
              <w:t>Commissie</w:t>
            </w:r>
            <w:r>
              <w:rPr>
                <w:b/>
                <w:spacing w:val="-8"/>
              </w:rPr>
              <w:t xml:space="preserve"> </w:t>
            </w:r>
            <w:r>
              <w:rPr>
                <w:b/>
              </w:rPr>
              <w:t>akkoord</w:t>
            </w:r>
            <w:r>
              <w:rPr>
                <w:b/>
                <w:spacing w:val="-7"/>
              </w:rPr>
              <w:t xml:space="preserve"> </w:t>
            </w:r>
            <w:proofErr w:type="spellStart"/>
            <w:r>
              <w:rPr>
                <w:b/>
                <w:spacing w:val="-5"/>
              </w:rPr>
              <w:t>dd</w:t>
            </w:r>
            <w:proofErr w:type="spellEnd"/>
          </w:p>
        </w:tc>
        <w:tc>
          <w:tcPr>
            <w:tcW w:w="4188" w:type="dxa"/>
          </w:tcPr>
          <w:p w14:paraId="7FBAFCC2" w14:textId="77777777" w:rsidR="00861D40" w:rsidRDefault="00A31D89">
            <w:pPr>
              <w:pStyle w:val="TableParagraph"/>
              <w:spacing w:before="1" w:line="240" w:lineRule="auto"/>
              <w:ind w:left="111"/>
              <w:rPr>
                <w:b/>
              </w:rPr>
            </w:pPr>
            <w:r>
              <w:rPr>
                <w:b/>
                <w:spacing w:val="-2"/>
              </w:rPr>
              <w:t>Wijzigingen</w:t>
            </w:r>
          </w:p>
        </w:tc>
      </w:tr>
      <w:tr w:rsidR="00861D40" w14:paraId="2852A9F7" w14:textId="77777777">
        <w:trPr>
          <w:trHeight w:val="309"/>
        </w:trPr>
        <w:tc>
          <w:tcPr>
            <w:tcW w:w="818" w:type="dxa"/>
          </w:tcPr>
          <w:p w14:paraId="122548E4" w14:textId="77777777" w:rsidR="00861D40" w:rsidRDefault="00A31D89">
            <w:pPr>
              <w:pStyle w:val="TableParagraph"/>
              <w:ind w:left="110"/>
            </w:pPr>
            <w:r>
              <w:rPr>
                <w:spacing w:val="-5"/>
              </w:rPr>
              <w:t>1.0</w:t>
            </w:r>
          </w:p>
        </w:tc>
        <w:tc>
          <w:tcPr>
            <w:tcW w:w="1774" w:type="dxa"/>
          </w:tcPr>
          <w:p w14:paraId="3B6A179D" w14:textId="77777777" w:rsidR="00861D40" w:rsidRDefault="00861D40">
            <w:pPr>
              <w:pStyle w:val="TableParagraph"/>
              <w:spacing w:line="240" w:lineRule="auto"/>
              <w:ind w:left="0"/>
              <w:rPr>
                <w:rFonts w:ascii="Times New Roman"/>
              </w:rPr>
            </w:pPr>
          </w:p>
        </w:tc>
        <w:tc>
          <w:tcPr>
            <w:tcW w:w="2400" w:type="dxa"/>
          </w:tcPr>
          <w:p w14:paraId="7018B222" w14:textId="77777777" w:rsidR="00861D40" w:rsidRDefault="00A31D89">
            <w:pPr>
              <w:pStyle w:val="TableParagraph"/>
            </w:pPr>
            <w:r>
              <w:t>9</w:t>
            </w:r>
            <w:r>
              <w:rPr>
                <w:spacing w:val="-1"/>
              </w:rPr>
              <w:t xml:space="preserve"> </w:t>
            </w:r>
            <w:r>
              <w:t>april</w:t>
            </w:r>
            <w:r>
              <w:rPr>
                <w:spacing w:val="-3"/>
              </w:rPr>
              <w:t xml:space="preserve"> </w:t>
            </w:r>
            <w:r>
              <w:rPr>
                <w:spacing w:val="-4"/>
              </w:rPr>
              <w:t>2021</w:t>
            </w:r>
          </w:p>
        </w:tc>
        <w:tc>
          <w:tcPr>
            <w:tcW w:w="4188" w:type="dxa"/>
          </w:tcPr>
          <w:p w14:paraId="7E76A2DB" w14:textId="77777777" w:rsidR="00861D40" w:rsidRDefault="00A31D89">
            <w:pPr>
              <w:pStyle w:val="TableParagraph"/>
              <w:ind w:left="111"/>
            </w:pPr>
            <w:r>
              <w:t>Origineel</w:t>
            </w:r>
            <w:r>
              <w:rPr>
                <w:spacing w:val="-5"/>
              </w:rPr>
              <w:t xml:space="preserve"> </w:t>
            </w:r>
            <w:r>
              <w:rPr>
                <w:spacing w:val="-2"/>
              </w:rPr>
              <w:t>document</w:t>
            </w:r>
          </w:p>
        </w:tc>
      </w:tr>
      <w:tr w:rsidR="00861D40" w14:paraId="26377D7D" w14:textId="77777777">
        <w:trPr>
          <w:trHeight w:val="618"/>
        </w:trPr>
        <w:tc>
          <w:tcPr>
            <w:tcW w:w="818" w:type="dxa"/>
          </w:tcPr>
          <w:p w14:paraId="064F2CB2" w14:textId="77777777" w:rsidR="00861D40" w:rsidRDefault="00A31D89">
            <w:pPr>
              <w:pStyle w:val="TableParagraph"/>
              <w:ind w:left="110"/>
            </w:pPr>
            <w:r>
              <w:rPr>
                <w:spacing w:val="-5"/>
              </w:rPr>
              <w:t>1.1</w:t>
            </w:r>
          </w:p>
        </w:tc>
        <w:tc>
          <w:tcPr>
            <w:tcW w:w="1774" w:type="dxa"/>
          </w:tcPr>
          <w:p w14:paraId="2672527A" w14:textId="77777777" w:rsidR="00861D40" w:rsidRDefault="00A31D89">
            <w:pPr>
              <w:pStyle w:val="TableParagraph"/>
            </w:pPr>
            <w:r>
              <w:t xml:space="preserve">De </w:t>
            </w:r>
            <w:r>
              <w:rPr>
                <w:spacing w:val="-2"/>
              </w:rPr>
              <w:t>Borst</w:t>
            </w:r>
          </w:p>
        </w:tc>
        <w:tc>
          <w:tcPr>
            <w:tcW w:w="2400" w:type="dxa"/>
          </w:tcPr>
          <w:p w14:paraId="0AD2D370" w14:textId="77777777" w:rsidR="00861D40" w:rsidRDefault="00A31D89">
            <w:pPr>
              <w:pStyle w:val="TableParagraph"/>
            </w:pPr>
            <w:r>
              <w:t>10</w:t>
            </w:r>
            <w:r>
              <w:rPr>
                <w:spacing w:val="-4"/>
              </w:rPr>
              <w:t xml:space="preserve"> </w:t>
            </w:r>
            <w:r>
              <w:t>november</w:t>
            </w:r>
            <w:r>
              <w:rPr>
                <w:spacing w:val="-5"/>
              </w:rPr>
              <w:t xml:space="preserve"> </w:t>
            </w:r>
            <w:r>
              <w:rPr>
                <w:spacing w:val="-4"/>
              </w:rPr>
              <w:t>2021</w:t>
            </w:r>
          </w:p>
        </w:tc>
        <w:tc>
          <w:tcPr>
            <w:tcW w:w="4188" w:type="dxa"/>
          </w:tcPr>
          <w:p w14:paraId="55061D3E" w14:textId="77777777" w:rsidR="00861D40" w:rsidRDefault="00A31D89">
            <w:pPr>
              <w:pStyle w:val="TableParagraph"/>
              <w:ind w:left="111"/>
            </w:pPr>
            <w:r>
              <w:t>Laatste</w:t>
            </w:r>
            <w:r>
              <w:rPr>
                <w:spacing w:val="-6"/>
              </w:rPr>
              <w:t xml:space="preserve"> </w:t>
            </w:r>
            <w:r>
              <w:t>zin</w:t>
            </w:r>
            <w:r>
              <w:rPr>
                <w:spacing w:val="-6"/>
              </w:rPr>
              <w:t xml:space="preserve"> </w:t>
            </w:r>
            <w:r>
              <w:t>inleiding</w:t>
            </w:r>
            <w:r>
              <w:rPr>
                <w:spacing w:val="-6"/>
              </w:rPr>
              <w:t xml:space="preserve"> </w:t>
            </w:r>
            <w:r>
              <w:t>toegevoegd,</w:t>
            </w:r>
            <w:r>
              <w:rPr>
                <w:spacing w:val="-5"/>
              </w:rPr>
              <w:t xml:space="preserve"> </w:t>
            </w:r>
            <w:r>
              <w:rPr>
                <w:spacing w:val="-2"/>
              </w:rPr>
              <w:t>criterium</w:t>
            </w:r>
          </w:p>
          <w:p w14:paraId="669CBE25" w14:textId="77777777" w:rsidR="00861D40" w:rsidRDefault="00A31D89">
            <w:pPr>
              <w:pStyle w:val="TableParagraph"/>
              <w:spacing w:before="41" w:line="240" w:lineRule="auto"/>
              <w:ind w:left="111"/>
            </w:pPr>
            <w:r>
              <w:t>II.1</w:t>
            </w:r>
            <w:r>
              <w:rPr>
                <w:spacing w:val="-2"/>
              </w:rPr>
              <w:t xml:space="preserve"> </w:t>
            </w:r>
            <w:r>
              <w:t>aangepast</w:t>
            </w:r>
            <w:r>
              <w:rPr>
                <w:spacing w:val="-5"/>
              </w:rPr>
              <w:t xml:space="preserve"> </w:t>
            </w:r>
            <w:proofErr w:type="spellStart"/>
            <w:r>
              <w:t>tav</w:t>
            </w:r>
            <w:proofErr w:type="spellEnd"/>
            <w:r>
              <w:rPr>
                <w:spacing w:val="-3"/>
              </w:rPr>
              <w:t xml:space="preserve"> </w:t>
            </w:r>
            <w:r>
              <w:rPr>
                <w:spacing w:val="-2"/>
              </w:rPr>
              <w:t>pijnstilling</w:t>
            </w:r>
          </w:p>
        </w:tc>
      </w:tr>
      <w:tr w:rsidR="000272AF" w14:paraId="2E99BEEE" w14:textId="77777777">
        <w:trPr>
          <w:trHeight w:val="618"/>
        </w:trPr>
        <w:tc>
          <w:tcPr>
            <w:tcW w:w="818" w:type="dxa"/>
          </w:tcPr>
          <w:p w14:paraId="7A6263CC" w14:textId="7CB60BDA" w:rsidR="000272AF" w:rsidRDefault="00E85FAC">
            <w:pPr>
              <w:pStyle w:val="TableParagraph"/>
              <w:ind w:left="110"/>
              <w:rPr>
                <w:spacing w:val="-5"/>
              </w:rPr>
            </w:pPr>
            <w:r>
              <w:rPr>
                <w:spacing w:val="-5"/>
              </w:rPr>
              <w:t>1.2</w:t>
            </w:r>
          </w:p>
        </w:tc>
        <w:tc>
          <w:tcPr>
            <w:tcW w:w="1774" w:type="dxa"/>
          </w:tcPr>
          <w:p w14:paraId="2B9B75AF" w14:textId="5AA56B18" w:rsidR="000272AF" w:rsidRDefault="00E85FAC">
            <w:pPr>
              <w:pStyle w:val="TableParagraph"/>
            </w:pPr>
            <w:r>
              <w:t>Van Velsen</w:t>
            </w:r>
          </w:p>
        </w:tc>
        <w:tc>
          <w:tcPr>
            <w:tcW w:w="2400" w:type="dxa"/>
          </w:tcPr>
          <w:p w14:paraId="05FE75B2" w14:textId="7846515F" w:rsidR="000272AF" w:rsidRDefault="003A7B37">
            <w:pPr>
              <w:pStyle w:val="TableParagraph"/>
            </w:pPr>
            <w:r>
              <w:t>3 september 2025</w:t>
            </w:r>
          </w:p>
        </w:tc>
        <w:tc>
          <w:tcPr>
            <w:tcW w:w="4188" w:type="dxa"/>
          </w:tcPr>
          <w:p w14:paraId="0DF5ED35" w14:textId="38C2C5E3" w:rsidR="000272AF" w:rsidRDefault="00E85FAC">
            <w:pPr>
              <w:pStyle w:val="TableParagraph"/>
              <w:ind w:left="111"/>
            </w:pPr>
            <w:r>
              <w:t xml:space="preserve">Update van het </w:t>
            </w:r>
            <w:r w:rsidR="00A135AC">
              <w:t xml:space="preserve">gehele </w:t>
            </w:r>
            <w:r>
              <w:t>document</w:t>
            </w:r>
          </w:p>
        </w:tc>
      </w:tr>
    </w:tbl>
    <w:p w14:paraId="39D5FB67" w14:textId="77777777" w:rsidR="00861D40" w:rsidRDefault="00861D40">
      <w:pPr>
        <w:pStyle w:val="BodyText"/>
        <w:ind w:left="0"/>
        <w:rPr>
          <w:b/>
        </w:rPr>
      </w:pPr>
    </w:p>
    <w:p w14:paraId="611A73D6" w14:textId="77777777" w:rsidR="00861D40" w:rsidRDefault="00861D40">
      <w:pPr>
        <w:pStyle w:val="BodyText"/>
        <w:spacing w:before="79"/>
        <w:ind w:left="0"/>
        <w:rPr>
          <w:b/>
        </w:rPr>
      </w:pPr>
    </w:p>
    <w:p w14:paraId="4EDAB547" w14:textId="77777777" w:rsidR="00861D40" w:rsidRDefault="00A31D89">
      <w:pPr>
        <w:pStyle w:val="ListParagraph"/>
        <w:numPr>
          <w:ilvl w:val="0"/>
          <w:numId w:val="5"/>
        </w:numPr>
        <w:tabs>
          <w:tab w:val="left" w:pos="360"/>
        </w:tabs>
        <w:spacing w:before="1"/>
        <w:ind w:left="360" w:hanging="219"/>
        <w:rPr>
          <w:b/>
        </w:rPr>
      </w:pPr>
      <w:r>
        <w:rPr>
          <w:b/>
          <w:spacing w:val="-2"/>
        </w:rPr>
        <w:t>Inleiding</w:t>
      </w:r>
    </w:p>
    <w:p w14:paraId="37694B25" w14:textId="0CBAAC9C" w:rsidR="00861D40" w:rsidRDefault="00A31D89">
      <w:pPr>
        <w:pStyle w:val="BodyText"/>
        <w:spacing w:before="41" w:line="276" w:lineRule="auto"/>
        <w:ind w:right="146"/>
      </w:pPr>
      <w:r>
        <w:t>In</w:t>
      </w:r>
      <w:r>
        <w:rPr>
          <w:spacing w:val="-4"/>
        </w:rPr>
        <w:t xml:space="preserve"> </w:t>
      </w:r>
      <w:r>
        <w:t>oktober</w:t>
      </w:r>
      <w:r>
        <w:rPr>
          <w:spacing w:val="-5"/>
        </w:rPr>
        <w:t xml:space="preserve"> </w:t>
      </w:r>
      <w:r>
        <w:t>2020</w:t>
      </w:r>
      <w:r>
        <w:rPr>
          <w:spacing w:val="-2"/>
        </w:rPr>
        <w:t xml:space="preserve"> </w:t>
      </w:r>
      <w:r>
        <w:t>heeft</w:t>
      </w:r>
      <w:r>
        <w:rPr>
          <w:spacing w:val="-2"/>
        </w:rPr>
        <w:t xml:space="preserve"> </w:t>
      </w:r>
      <w:r>
        <w:t>de</w:t>
      </w:r>
      <w:r>
        <w:rPr>
          <w:spacing w:val="-5"/>
        </w:rPr>
        <w:t xml:space="preserve"> </w:t>
      </w:r>
      <w:r>
        <w:t>Europese</w:t>
      </w:r>
      <w:r>
        <w:rPr>
          <w:spacing w:val="-3"/>
        </w:rPr>
        <w:t xml:space="preserve"> </w:t>
      </w:r>
      <w:r>
        <w:t>commissie</w:t>
      </w:r>
      <w:r>
        <w:rPr>
          <w:spacing w:val="-2"/>
        </w:rPr>
        <w:t xml:space="preserve"> </w:t>
      </w:r>
      <w:r>
        <w:t>het</w:t>
      </w:r>
      <w:r>
        <w:rPr>
          <w:spacing w:val="-4"/>
        </w:rPr>
        <w:t xml:space="preserve"> </w:t>
      </w:r>
      <w:r>
        <w:t>geneesmiddel</w:t>
      </w:r>
      <w:r>
        <w:rPr>
          <w:spacing w:val="-1"/>
        </w:rPr>
        <w:t xml:space="preserve"> </w:t>
      </w:r>
      <w:proofErr w:type="spellStart"/>
      <w:r>
        <w:t>burosumab</w:t>
      </w:r>
      <w:proofErr w:type="spellEnd"/>
      <w:r>
        <w:rPr>
          <w:spacing w:val="-3"/>
        </w:rPr>
        <w:t xml:space="preserve"> </w:t>
      </w:r>
      <w:r>
        <w:t>goedgekeurd</w:t>
      </w:r>
      <w:r>
        <w:rPr>
          <w:spacing w:val="-1"/>
        </w:rPr>
        <w:t xml:space="preserve"> </w:t>
      </w:r>
      <w:r>
        <w:t>voor de behandeling van</w:t>
      </w:r>
      <w:r>
        <w:rPr>
          <w:spacing w:val="-1"/>
        </w:rPr>
        <w:t xml:space="preserve"> </w:t>
      </w:r>
      <w:r>
        <w:t xml:space="preserve">X-gebonden </w:t>
      </w:r>
      <w:proofErr w:type="spellStart"/>
      <w:r>
        <w:t>hypofosfatemie</w:t>
      </w:r>
      <w:proofErr w:type="spellEnd"/>
      <w:r>
        <w:t xml:space="preserve"> (XLH) bij volwassenen. Eerder was </w:t>
      </w:r>
      <w:proofErr w:type="spellStart"/>
      <w:r>
        <w:t>burosumab</w:t>
      </w:r>
      <w:proofErr w:type="spellEnd"/>
      <w:r>
        <w:t xml:space="preserve"> al geregistreerd voor </w:t>
      </w:r>
      <w:r w:rsidR="00B9369F">
        <w:t xml:space="preserve">de </w:t>
      </w:r>
      <w:r>
        <w:t>behandeling van XLH bij kinderen met radiografisch bewijs van botziekte.</w:t>
      </w:r>
    </w:p>
    <w:p w14:paraId="5D74A8ED" w14:textId="435FF68D" w:rsidR="00861D40" w:rsidRDefault="00A31D89">
      <w:pPr>
        <w:pStyle w:val="BodyText"/>
        <w:spacing w:before="1" w:line="276" w:lineRule="auto"/>
        <w:ind w:right="172"/>
      </w:pPr>
      <w:r>
        <w:t>Gezien de hoge kosten van het geneesmiddel en de relatief lage frequentie van voorkomen (naar schatting 1:20.000)</w:t>
      </w:r>
      <w:r>
        <w:rPr>
          <w:vertAlign w:val="superscript"/>
        </w:rPr>
        <w:t>1</w:t>
      </w:r>
      <w:r>
        <w:t xml:space="preserve"> </w:t>
      </w:r>
      <w:r w:rsidR="00E85FAC">
        <w:t>wa</w:t>
      </w:r>
      <w:r>
        <w:t xml:space="preserve">s er behoefte aan </w:t>
      </w:r>
      <w:r w:rsidR="00EE71A1">
        <w:t xml:space="preserve">indicatiestelling </w:t>
      </w:r>
      <w:r w:rsidR="00BC5A3E">
        <w:t xml:space="preserve">per </w:t>
      </w:r>
      <w:r w:rsidR="00EE71A1">
        <w:t>individuele</w:t>
      </w:r>
      <w:r>
        <w:t xml:space="preserve"> </w:t>
      </w:r>
      <w:r w:rsidR="00EE71A1">
        <w:t>patiënt</w:t>
      </w:r>
      <w:r w:rsidR="00BC5A3E">
        <w:t>,</w:t>
      </w:r>
      <w:r w:rsidR="00EE71A1">
        <w:t xml:space="preserve"> </w:t>
      </w:r>
      <w:r>
        <w:t>en het formuleren van start- en stopcriteria alsmede registratie van gebruik. Op basis van wetenschappelijke literatuur en expert opinion uit binnen- en buitenland is dit document</w:t>
      </w:r>
      <w:r w:rsidR="00AC7DB5">
        <w:t xml:space="preserve"> door ons, als ‘</w:t>
      </w:r>
      <w:proofErr w:type="spellStart"/>
      <w:r w:rsidR="00AC7DB5">
        <w:t>Burosumab</w:t>
      </w:r>
      <w:proofErr w:type="spellEnd"/>
      <w:r w:rsidR="00AC7DB5">
        <w:t xml:space="preserve"> Indicatie</w:t>
      </w:r>
      <w:r w:rsidR="00D20A04">
        <w:t>c</w:t>
      </w:r>
      <w:r w:rsidR="00AC7DB5">
        <w:t>ommissie’,</w:t>
      </w:r>
      <w:r>
        <w:t xml:space="preserve"> opgesteld op verzoek van de commissie beoordeling </w:t>
      </w:r>
      <w:proofErr w:type="spellStart"/>
      <w:r>
        <w:t>add-on</w:t>
      </w:r>
      <w:proofErr w:type="spellEnd"/>
      <w:r>
        <w:t xml:space="preserve"> geneesmiddelen (CIEBAG). </w:t>
      </w:r>
      <w:r w:rsidR="00AC7DB5">
        <w:t xml:space="preserve">Op basis van het indicatiegebied van </w:t>
      </w:r>
      <w:proofErr w:type="spellStart"/>
      <w:r w:rsidR="00AC7DB5">
        <w:t>burosumab</w:t>
      </w:r>
      <w:proofErr w:type="spellEnd"/>
      <w:r w:rsidR="00AC7DB5">
        <w:t xml:space="preserve">, in combinatie met het huidige document, </w:t>
      </w:r>
      <w:r>
        <w:t xml:space="preserve">geven wij een advies over de behandeling van </w:t>
      </w:r>
      <w:r w:rsidR="003C7A95">
        <w:t xml:space="preserve">kinderen en </w:t>
      </w:r>
      <w:r w:rsidR="00B12590">
        <w:t xml:space="preserve">volwassenen met XLH, met een sterk </w:t>
      </w:r>
      <w:r w:rsidR="00B12590" w:rsidRPr="00B12590">
        <w:t>vermoeden o</w:t>
      </w:r>
      <w:r w:rsidR="00B12590">
        <w:t>p</w:t>
      </w:r>
      <w:r w:rsidR="00B12590" w:rsidRPr="00B12590">
        <w:t xml:space="preserve"> </w:t>
      </w:r>
      <w:r w:rsidR="00B12590">
        <w:t xml:space="preserve">een </w:t>
      </w:r>
      <w:r w:rsidR="00B12590" w:rsidRPr="00B12590">
        <w:t xml:space="preserve">hereditaire FGF23-gemedieerde </w:t>
      </w:r>
      <w:proofErr w:type="spellStart"/>
      <w:r w:rsidR="00B12590" w:rsidRPr="00B12590">
        <w:t>hypofosfatemie</w:t>
      </w:r>
      <w:proofErr w:type="spellEnd"/>
      <w:r w:rsidR="00B12590">
        <w:t xml:space="preserve"> of een</w:t>
      </w:r>
      <w:r w:rsidR="00B12590">
        <w:rPr>
          <w:spacing w:val="-5"/>
        </w:rPr>
        <w:t xml:space="preserve"> </w:t>
      </w:r>
      <w:r w:rsidR="00B12590">
        <w:t>tumor-geïnduceerde</w:t>
      </w:r>
      <w:r w:rsidR="00B12590">
        <w:rPr>
          <w:spacing w:val="-3"/>
        </w:rPr>
        <w:t xml:space="preserve"> </w:t>
      </w:r>
      <w:r w:rsidR="00B12590">
        <w:t>osteomalacie</w:t>
      </w:r>
      <w:r w:rsidR="00B12590">
        <w:rPr>
          <w:spacing w:val="-3"/>
        </w:rPr>
        <w:t xml:space="preserve"> </w:t>
      </w:r>
      <w:r w:rsidR="00B12590">
        <w:t>(TIO); voor deze laatste groep is een apart document</w:t>
      </w:r>
      <w:r>
        <w:t>.</w:t>
      </w:r>
      <w:r>
        <w:rPr>
          <w:spacing w:val="-5"/>
        </w:rPr>
        <w:t xml:space="preserve"> </w:t>
      </w:r>
      <w:r>
        <w:t>We</w:t>
      </w:r>
      <w:r>
        <w:rPr>
          <w:spacing w:val="-2"/>
        </w:rPr>
        <w:t xml:space="preserve"> </w:t>
      </w:r>
      <w:r w:rsidR="00EE71A1">
        <w:t>beogen</w:t>
      </w:r>
      <w:r w:rsidR="00EE71A1">
        <w:rPr>
          <w:spacing w:val="-3"/>
        </w:rPr>
        <w:t xml:space="preserve"> </w:t>
      </w:r>
      <w:r>
        <w:t>hiermee</w:t>
      </w:r>
      <w:r>
        <w:rPr>
          <w:spacing w:val="-2"/>
        </w:rPr>
        <w:t xml:space="preserve"> </w:t>
      </w:r>
      <w:r>
        <w:t>een</w:t>
      </w:r>
      <w:r>
        <w:rPr>
          <w:spacing w:val="-3"/>
        </w:rPr>
        <w:t xml:space="preserve"> </w:t>
      </w:r>
      <w:r>
        <w:t>bijdrage</w:t>
      </w:r>
      <w:r>
        <w:rPr>
          <w:spacing w:val="-2"/>
        </w:rPr>
        <w:t xml:space="preserve"> </w:t>
      </w:r>
      <w:r>
        <w:t>te</w:t>
      </w:r>
      <w:r>
        <w:rPr>
          <w:spacing w:val="-2"/>
        </w:rPr>
        <w:t xml:space="preserve"> </w:t>
      </w:r>
      <w:r>
        <w:t>leveren</w:t>
      </w:r>
      <w:r>
        <w:rPr>
          <w:spacing w:val="-2"/>
        </w:rPr>
        <w:t xml:space="preserve"> </w:t>
      </w:r>
      <w:r>
        <w:t>aan</w:t>
      </w:r>
      <w:r>
        <w:rPr>
          <w:spacing w:val="-6"/>
        </w:rPr>
        <w:t xml:space="preserve"> </w:t>
      </w:r>
      <w:r>
        <w:t>het</w:t>
      </w:r>
      <w:r>
        <w:rPr>
          <w:spacing w:val="-2"/>
        </w:rPr>
        <w:t xml:space="preserve"> </w:t>
      </w:r>
      <w:r>
        <w:t>doelmatig</w:t>
      </w:r>
      <w:r>
        <w:rPr>
          <w:spacing w:val="-3"/>
        </w:rPr>
        <w:t xml:space="preserve"> </w:t>
      </w:r>
      <w:r>
        <w:t>gebruik</w:t>
      </w:r>
      <w:r>
        <w:rPr>
          <w:spacing w:val="-5"/>
        </w:rPr>
        <w:t xml:space="preserve"> </w:t>
      </w:r>
      <w:r>
        <w:t xml:space="preserve">van het geneesmiddel en aan kostenbeheersing, zodat voor diegenen die naar verwachting baat zullen hebben bij </w:t>
      </w:r>
      <w:proofErr w:type="spellStart"/>
      <w:r>
        <w:t>burosumab</w:t>
      </w:r>
      <w:proofErr w:type="spellEnd"/>
      <w:r>
        <w:t xml:space="preserve"> het middel beschikbaar is, maar toepassing van het geneesmiddel buiten de groep waar het bewezen effectief is vermeden wordt. Omdat de onderliggende evidentie beperkt is en aan</w:t>
      </w:r>
      <w:r>
        <w:rPr>
          <w:spacing w:val="-1"/>
        </w:rPr>
        <w:t xml:space="preserve"> </w:t>
      </w:r>
      <w:r>
        <w:t>ontwikkeling</w:t>
      </w:r>
      <w:r>
        <w:rPr>
          <w:spacing w:val="-3"/>
        </w:rPr>
        <w:t xml:space="preserve"> </w:t>
      </w:r>
      <w:r>
        <w:t>onderhevig, zal dit</w:t>
      </w:r>
      <w:r>
        <w:rPr>
          <w:spacing w:val="-2"/>
        </w:rPr>
        <w:t xml:space="preserve"> </w:t>
      </w:r>
      <w:r>
        <w:t>document</w:t>
      </w:r>
      <w:r>
        <w:rPr>
          <w:spacing w:val="-2"/>
        </w:rPr>
        <w:t xml:space="preserve"> </w:t>
      </w:r>
      <w:r>
        <w:t>in</w:t>
      </w:r>
      <w:r>
        <w:rPr>
          <w:spacing w:val="-3"/>
        </w:rPr>
        <w:t xml:space="preserve"> </w:t>
      </w:r>
      <w:r>
        <w:t>de toekomst regelmatig</w:t>
      </w:r>
      <w:r>
        <w:rPr>
          <w:spacing w:val="-3"/>
        </w:rPr>
        <w:t xml:space="preserve"> </w:t>
      </w:r>
      <w:r>
        <w:t xml:space="preserve">worden geactualiseerd. De hier beschreven criteria dienen voor de volwassenen als startpunt te worden beschouwd voor beoordeling door de </w:t>
      </w:r>
      <w:r w:rsidR="00D20A04">
        <w:t>Indicatiecommissie</w:t>
      </w:r>
      <w:r>
        <w:t>.</w:t>
      </w:r>
    </w:p>
    <w:p w14:paraId="5F8167CF" w14:textId="77777777" w:rsidR="00861D40" w:rsidRDefault="00861D40">
      <w:pPr>
        <w:pStyle w:val="BodyText"/>
        <w:spacing w:before="41"/>
        <w:ind w:left="0"/>
      </w:pPr>
    </w:p>
    <w:p w14:paraId="462FD7F7" w14:textId="41B27316" w:rsidR="00E85FAC" w:rsidRDefault="00E85FAC" w:rsidP="00E5070F">
      <w:pPr>
        <w:pStyle w:val="BodyText"/>
        <w:spacing w:line="273" w:lineRule="auto"/>
        <w:ind w:right="170"/>
      </w:pPr>
      <w:proofErr w:type="spellStart"/>
      <w:r>
        <w:t>prof.</w:t>
      </w:r>
      <w:r w:rsidR="00A31D89">
        <w:t>dr</w:t>
      </w:r>
      <w:proofErr w:type="spellEnd"/>
      <w:r w:rsidR="00A31D89">
        <w:t>.</w:t>
      </w:r>
      <w:r w:rsidR="00A31D89">
        <w:rPr>
          <w:spacing w:val="-10"/>
        </w:rPr>
        <w:t xml:space="preserve"> </w:t>
      </w:r>
      <w:r w:rsidR="00A31D89">
        <w:t>N.M.</w:t>
      </w:r>
      <w:r w:rsidR="00A31D89">
        <w:rPr>
          <w:spacing w:val="-9"/>
        </w:rPr>
        <w:t xml:space="preserve"> </w:t>
      </w:r>
      <w:r w:rsidR="00A31D89">
        <w:t>Appelman-Dijkstra,</w:t>
      </w:r>
      <w:r w:rsidR="00A31D89">
        <w:rPr>
          <w:spacing w:val="-8"/>
        </w:rPr>
        <w:t xml:space="preserve"> </w:t>
      </w:r>
      <w:r w:rsidR="00A31D89">
        <w:t>internist-endocrinoloog,</w:t>
      </w:r>
      <w:r>
        <w:rPr>
          <w:spacing w:val="-10"/>
        </w:rPr>
        <w:t xml:space="preserve"> LU</w:t>
      </w:r>
      <w:r w:rsidR="00A31D89">
        <w:t xml:space="preserve">MC </w:t>
      </w:r>
    </w:p>
    <w:p w14:paraId="027856A1" w14:textId="4E23959F" w:rsidR="00861D40" w:rsidRDefault="00A31D89">
      <w:pPr>
        <w:pStyle w:val="BodyText"/>
        <w:spacing w:line="273" w:lineRule="auto"/>
        <w:ind w:right="3704"/>
      </w:pPr>
      <w:r>
        <w:t>dr. A.M.</w:t>
      </w:r>
      <w:r>
        <w:rPr>
          <w:spacing w:val="40"/>
        </w:rPr>
        <w:t xml:space="preserve"> </w:t>
      </w:r>
      <w:r>
        <w:t>Boot, kinderarts-endocrinoloog, UMCG</w:t>
      </w:r>
    </w:p>
    <w:p w14:paraId="5DA01D94" w14:textId="77777777" w:rsidR="00861D40" w:rsidRDefault="00A31D89">
      <w:pPr>
        <w:pStyle w:val="BodyText"/>
        <w:spacing w:before="4"/>
        <w:rPr>
          <w:spacing w:val="-4"/>
        </w:rPr>
      </w:pPr>
      <w:proofErr w:type="spellStart"/>
      <w:r>
        <w:t>prof.dr</w:t>
      </w:r>
      <w:proofErr w:type="spellEnd"/>
      <w:r>
        <w:t>.</w:t>
      </w:r>
      <w:r>
        <w:rPr>
          <w:spacing w:val="-7"/>
        </w:rPr>
        <w:t xml:space="preserve"> </w:t>
      </w:r>
      <w:r>
        <w:t>M.H.</w:t>
      </w:r>
      <w:r>
        <w:rPr>
          <w:spacing w:val="-6"/>
        </w:rPr>
        <w:t xml:space="preserve"> </w:t>
      </w:r>
      <w:r>
        <w:t>de</w:t>
      </w:r>
      <w:r>
        <w:rPr>
          <w:spacing w:val="-7"/>
        </w:rPr>
        <w:t xml:space="preserve"> </w:t>
      </w:r>
      <w:r>
        <w:t>Borst,</w:t>
      </w:r>
      <w:r>
        <w:rPr>
          <w:spacing w:val="-6"/>
        </w:rPr>
        <w:t xml:space="preserve"> </w:t>
      </w:r>
      <w:r>
        <w:t>internist-nefroloog,</w:t>
      </w:r>
      <w:r>
        <w:rPr>
          <w:spacing w:val="-6"/>
        </w:rPr>
        <w:t xml:space="preserve"> </w:t>
      </w:r>
      <w:r>
        <w:rPr>
          <w:spacing w:val="-4"/>
        </w:rPr>
        <w:t>UMCG</w:t>
      </w:r>
    </w:p>
    <w:p w14:paraId="4C607BB1" w14:textId="119A156B" w:rsidR="00E85FAC" w:rsidRDefault="00E85FAC">
      <w:pPr>
        <w:pStyle w:val="BodyText"/>
        <w:spacing w:before="4"/>
      </w:pPr>
      <w:r>
        <w:rPr>
          <w:spacing w:val="-4"/>
        </w:rPr>
        <w:t>dr. E.F.S.</w:t>
      </w:r>
      <w:r w:rsidR="00BC5A3E">
        <w:rPr>
          <w:spacing w:val="-4"/>
        </w:rPr>
        <w:t xml:space="preserve"> </w:t>
      </w:r>
      <w:r>
        <w:rPr>
          <w:spacing w:val="-4"/>
        </w:rPr>
        <w:t>van Velsen, internist-endocrinoloog, Erasmus MC</w:t>
      </w:r>
    </w:p>
    <w:p w14:paraId="36C61832" w14:textId="29027EEA" w:rsidR="00EE71A1" w:rsidRDefault="00A31D89">
      <w:pPr>
        <w:pStyle w:val="BodyText"/>
        <w:spacing w:before="41" w:line="273" w:lineRule="auto"/>
        <w:ind w:right="3704"/>
      </w:pPr>
      <w:proofErr w:type="spellStart"/>
      <w:r>
        <w:t>prof.dr</w:t>
      </w:r>
      <w:proofErr w:type="spellEnd"/>
      <w:r>
        <w:t xml:space="preserve">. M. Vervloet, internist-nefroloog, </w:t>
      </w:r>
      <w:proofErr w:type="spellStart"/>
      <w:r w:rsidR="00EE71A1">
        <w:t>Radboudumc</w:t>
      </w:r>
      <w:proofErr w:type="spellEnd"/>
    </w:p>
    <w:p w14:paraId="629B8E5B" w14:textId="3CD5CF95" w:rsidR="00861D40" w:rsidRDefault="00A31D89">
      <w:pPr>
        <w:pStyle w:val="BodyText"/>
        <w:spacing w:before="41" w:line="273" w:lineRule="auto"/>
        <w:ind w:right="3704"/>
      </w:pPr>
      <w:proofErr w:type="spellStart"/>
      <w:r>
        <w:t>prof.dr</w:t>
      </w:r>
      <w:proofErr w:type="spellEnd"/>
      <w:r>
        <w:t>.</w:t>
      </w:r>
      <w:r>
        <w:rPr>
          <w:spacing w:val="-7"/>
        </w:rPr>
        <w:t xml:space="preserve"> </w:t>
      </w:r>
      <w:r>
        <w:t>M.C.</w:t>
      </w:r>
      <w:r>
        <w:rPr>
          <w:spacing w:val="-8"/>
        </w:rPr>
        <w:t xml:space="preserve"> </w:t>
      </w:r>
      <w:r>
        <w:t>Zillikens,</w:t>
      </w:r>
      <w:r>
        <w:rPr>
          <w:spacing w:val="-8"/>
        </w:rPr>
        <w:t xml:space="preserve"> </w:t>
      </w:r>
      <w:r>
        <w:t>internist-endocrinoloog,</w:t>
      </w:r>
      <w:r>
        <w:rPr>
          <w:spacing w:val="-5"/>
        </w:rPr>
        <w:t xml:space="preserve"> </w:t>
      </w:r>
      <w:r>
        <w:t>Erasmus</w:t>
      </w:r>
      <w:r>
        <w:rPr>
          <w:spacing w:val="-7"/>
        </w:rPr>
        <w:t xml:space="preserve"> </w:t>
      </w:r>
      <w:r>
        <w:t>MC</w:t>
      </w:r>
    </w:p>
    <w:p w14:paraId="04B136DE" w14:textId="77777777" w:rsidR="00861D40" w:rsidRDefault="00861D40">
      <w:pPr>
        <w:pStyle w:val="BodyText"/>
        <w:ind w:left="0"/>
      </w:pPr>
    </w:p>
    <w:p w14:paraId="1D929527" w14:textId="77777777" w:rsidR="00861D40" w:rsidRDefault="00861D40">
      <w:pPr>
        <w:pStyle w:val="BodyText"/>
        <w:spacing w:before="84"/>
        <w:ind w:left="0"/>
      </w:pPr>
    </w:p>
    <w:p w14:paraId="1B70BCFB" w14:textId="77777777" w:rsidR="00861D40" w:rsidRDefault="00A31D89">
      <w:pPr>
        <w:pStyle w:val="Heading1"/>
        <w:numPr>
          <w:ilvl w:val="0"/>
          <w:numId w:val="5"/>
        </w:numPr>
        <w:tabs>
          <w:tab w:val="left" w:pos="360"/>
        </w:tabs>
        <w:spacing w:before="1"/>
        <w:ind w:left="360" w:hanging="219"/>
      </w:pPr>
      <w:proofErr w:type="spellStart"/>
      <w:r>
        <w:t>Burosumab</w:t>
      </w:r>
      <w:proofErr w:type="spellEnd"/>
      <w:r>
        <w:rPr>
          <w:spacing w:val="-5"/>
        </w:rPr>
        <w:t xml:space="preserve"> </w:t>
      </w:r>
      <w:r>
        <w:t>bij</w:t>
      </w:r>
      <w:r>
        <w:rPr>
          <w:spacing w:val="-4"/>
        </w:rPr>
        <w:t xml:space="preserve"> </w:t>
      </w:r>
      <w:r>
        <w:t>kinderen</w:t>
      </w:r>
      <w:r>
        <w:rPr>
          <w:spacing w:val="-5"/>
        </w:rPr>
        <w:t xml:space="preserve"> </w:t>
      </w:r>
      <w:r>
        <w:t>en</w:t>
      </w:r>
      <w:r>
        <w:rPr>
          <w:spacing w:val="-4"/>
        </w:rPr>
        <w:t xml:space="preserve"> </w:t>
      </w:r>
      <w:r>
        <w:rPr>
          <w:spacing w:val="-2"/>
        </w:rPr>
        <w:t>adolescenten</w:t>
      </w:r>
    </w:p>
    <w:p w14:paraId="4F0EAB6B" w14:textId="538264D3" w:rsidR="00861D40" w:rsidRDefault="00A31D89">
      <w:pPr>
        <w:pStyle w:val="BodyText"/>
        <w:spacing w:before="41"/>
      </w:pPr>
      <w:r>
        <w:t>Wij</w:t>
      </w:r>
      <w:r>
        <w:rPr>
          <w:spacing w:val="-6"/>
        </w:rPr>
        <w:t xml:space="preserve"> </w:t>
      </w:r>
      <w:r>
        <w:t>stellen</w:t>
      </w:r>
      <w:r>
        <w:rPr>
          <w:spacing w:val="-4"/>
        </w:rPr>
        <w:t xml:space="preserve"> </w:t>
      </w:r>
      <w:r>
        <w:t>de</w:t>
      </w:r>
      <w:r>
        <w:rPr>
          <w:spacing w:val="-6"/>
        </w:rPr>
        <w:t xml:space="preserve"> </w:t>
      </w:r>
      <w:r>
        <w:t>volgende</w:t>
      </w:r>
      <w:r>
        <w:rPr>
          <w:spacing w:val="-5"/>
        </w:rPr>
        <w:t xml:space="preserve"> </w:t>
      </w:r>
      <w:r>
        <w:t>criteria</w:t>
      </w:r>
      <w:r>
        <w:rPr>
          <w:spacing w:val="-3"/>
        </w:rPr>
        <w:t xml:space="preserve"> </w:t>
      </w:r>
      <w:r>
        <w:t>voor</w:t>
      </w:r>
      <w:r>
        <w:rPr>
          <w:spacing w:val="-4"/>
        </w:rPr>
        <w:t xml:space="preserve"> </w:t>
      </w:r>
      <w:r>
        <w:t>als</w:t>
      </w:r>
      <w:r>
        <w:rPr>
          <w:spacing w:val="-4"/>
        </w:rPr>
        <w:t xml:space="preserve"> </w:t>
      </w:r>
      <w:r>
        <w:t>indicatie</w:t>
      </w:r>
      <w:r>
        <w:rPr>
          <w:spacing w:val="-6"/>
        </w:rPr>
        <w:t xml:space="preserve"> </w:t>
      </w:r>
      <w:r>
        <w:t>voor</w:t>
      </w:r>
      <w:r>
        <w:rPr>
          <w:spacing w:val="-5"/>
        </w:rPr>
        <w:t xml:space="preserve"> </w:t>
      </w:r>
      <w:proofErr w:type="spellStart"/>
      <w:r>
        <w:t>burosumab</w:t>
      </w:r>
      <w:proofErr w:type="spellEnd"/>
      <w:r>
        <w:rPr>
          <w:spacing w:val="-3"/>
        </w:rPr>
        <w:t xml:space="preserve"> </w:t>
      </w:r>
      <w:r>
        <w:t>bij</w:t>
      </w:r>
      <w:r>
        <w:rPr>
          <w:spacing w:val="-7"/>
        </w:rPr>
        <w:t xml:space="preserve"> </w:t>
      </w:r>
      <w:r>
        <w:t>kinderen</w:t>
      </w:r>
      <w:r>
        <w:rPr>
          <w:spacing w:val="-6"/>
        </w:rPr>
        <w:t xml:space="preserve"> </w:t>
      </w:r>
      <w:r>
        <w:t>(leeftijd</w:t>
      </w:r>
      <w:r>
        <w:rPr>
          <w:spacing w:val="-4"/>
        </w:rPr>
        <w:t xml:space="preserve"> </w:t>
      </w:r>
      <w:r>
        <w:t>1-</w:t>
      </w:r>
      <w:r w:rsidR="00525DDC">
        <w:t>18</w:t>
      </w:r>
      <w:r>
        <w:rPr>
          <w:spacing w:val="-4"/>
        </w:rPr>
        <w:t xml:space="preserve"> </w:t>
      </w:r>
      <w:r>
        <w:rPr>
          <w:spacing w:val="-2"/>
        </w:rPr>
        <w:t>jaar):</w:t>
      </w:r>
    </w:p>
    <w:p w14:paraId="00D31798" w14:textId="77777777" w:rsidR="00861D40" w:rsidRDefault="00A31D89">
      <w:pPr>
        <w:pStyle w:val="ListParagraph"/>
        <w:numPr>
          <w:ilvl w:val="0"/>
          <w:numId w:val="4"/>
        </w:numPr>
        <w:tabs>
          <w:tab w:val="left" w:pos="859"/>
        </w:tabs>
        <w:spacing w:before="41"/>
        <w:ind w:left="859" w:hanging="358"/>
      </w:pPr>
      <w:proofErr w:type="spellStart"/>
      <w:r>
        <w:rPr>
          <w:spacing w:val="-2"/>
        </w:rPr>
        <w:t>Hypofosfatemie</w:t>
      </w:r>
      <w:proofErr w:type="spellEnd"/>
    </w:p>
    <w:p w14:paraId="3D3CCF07" w14:textId="77777777" w:rsidR="00861D40" w:rsidRDefault="00A31D89">
      <w:pPr>
        <w:pStyle w:val="ListParagraph"/>
        <w:numPr>
          <w:ilvl w:val="0"/>
          <w:numId w:val="4"/>
        </w:numPr>
        <w:tabs>
          <w:tab w:val="left" w:pos="859"/>
          <w:tab w:val="left" w:pos="861"/>
        </w:tabs>
        <w:spacing w:before="39" w:line="276" w:lineRule="auto"/>
        <w:ind w:right="781"/>
      </w:pPr>
      <w:r>
        <w:t xml:space="preserve">PHEX mutatie bij index patiënt óf een andere familiair voorkomende vorm van FGF23 </w:t>
      </w:r>
      <w:r>
        <w:lastRenderedPageBreak/>
        <w:t>afhankelijke</w:t>
      </w:r>
      <w:r>
        <w:rPr>
          <w:spacing w:val="-6"/>
        </w:rPr>
        <w:t xml:space="preserve"> </w:t>
      </w:r>
      <w:proofErr w:type="spellStart"/>
      <w:r>
        <w:t>hypofosfatemische</w:t>
      </w:r>
      <w:proofErr w:type="spellEnd"/>
      <w:r>
        <w:rPr>
          <w:spacing w:val="-4"/>
        </w:rPr>
        <w:t xml:space="preserve"> </w:t>
      </w:r>
      <w:r>
        <w:t>rachitis</w:t>
      </w:r>
      <w:r>
        <w:rPr>
          <w:spacing w:val="-7"/>
        </w:rPr>
        <w:t xml:space="preserve"> </w:t>
      </w:r>
      <w:r>
        <w:t>met</w:t>
      </w:r>
      <w:r>
        <w:rPr>
          <w:spacing w:val="-6"/>
        </w:rPr>
        <w:t xml:space="preserve"> </w:t>
      </w:r>
      <w:r>
        <w:t>een</w:t>
      </w:r>
      <w:r>
        <w:rPr>
          <w:spacing w:val="-7"/>
        </w:rPr>
        <w:t xml:space="preserve"> </w:t>
      </w:r>
      <w:r>
        <w:t>X-chromosomaal</w:t>
      </w:r>
      <w:r>
        <w:rPr>
          <w:spacing w:val="-8"/>
        </w:rPr>
        <w:t xml:space="preserve"> </w:t>
      </w:r>
      <w:r>
        <w:t>overervingspatroon</w:t>
      </w:r>
    </w:p>
    <w:p w14:paraId="67AFFAD3" w14:textId="39B14C69" w:rsidR="00861D40" w:rsidRPr="00D20A04" w:rsidRDefault="00A31D89" w:rsidP="00D20A04">
      <w:pPr>
        <w:pStyle w:val="ListParagraph"/>
        <w:numPr>
          <w:ilvl w:val="0"/>
          <w:numId w:val="4"/>
        </w:numPr>
        <w:tabs>
          <w:tab w:val="left" w:pos="859"/>
        </w:tabs>
        <w:spacing w:before="39"/>
        <w:ind w:hanging="358"/>
        <w:rPr>
          <w:spacing w:val="-4"/>
        </w:rPr>
      </w:pPr>
      <w:r>
        <w:t>Radiologische</w:t>
      </w:r>
      <w:r w:rsidRPr="00D20A04">
        <w:rPr>
          <w:spacing w:val="-4"/>
        </w:rPr>
        <w:t xml:space="preserve"> </w:t>
      </w:r>
      <w:r>
        <w:t>tekenen</w:t>
      </w:r>
      <w:r w:rsidRPr="00D20A04">
        <w:rPr>
          <w:spacing w:val="-4"/>
        </w:rPr>
        <w:t xml:space="preserve"> </w:t>
      </w:r>
      <w:r>
        <w:t>van</w:t>
      </w:r>
      <w:r w:rsidRPr="00D20A04">
        <w:rPr>
          <w:spacing w:val="-9"/>
        </w:rPr>
        <w:t xml:space="preserve"> </w:t>
      </w:r>
      <w:r>
        <w:t>rachitis</w:t>
      </w:r>
      <w:r w:rsidRPr="00D20A04">
        <w:rPr>
          <w:spacing w:val="-4"/>
        </w:rPr>
        <w:t xml:space="preserve"> </w:t>
      </w:r>
      <w:r>
        <w:t>na</w:t>
      </w:r>
      <w:r w:rsidRPr="00D20A04">
        <w:rPr>
          <w:spacing w:val="-7"/>
        </w:rPr>
        <w:t xml:space="preserve"> </w:t>
      </w:r>
      <w:r>
        <w:t>minimaal</w:t>
      </w:r>
      <w:r w:rsidRPr="00D20A04">
        <w:rPr>
          <w:spacing w:val="-4"/>
        </w:rPr>
        <w:t xml:space="preserve"> </w:t>
      </w:r>
      <w:r>
        <w:t>1</w:t>
      </w:r>
      <w:r w:rsidRPr="00D20A04">
        <w:rPr>
          <w:spacing w:val="-5"/>
        </w:rPr>
        <w:t xml:space="preserve"> </w:t>
      </w:r>
      <w:r>
        <w:t>jaar</w:t>
      </w:r>
      <w:r w:rsidR="00C459BB">
        <w:t xml:space="preserve"> (bij kinderen &lt; 2 jaar minimaal 6 maanden) </w:t>
      </w:r>
      <w:r w:rsidRPr="00D20A04">
        <w:rPr>
          <w:spacing w:val="-8"/>
        </w:rPr>
        <w:t xml:space="preserve"> </w:t>
      </w:r>
      <w:r>
        <w:t>alfacalcidol</w:t>
      </w:r>
      <w:r w:rsidRPr="00D20A04">
        <w:rPr>
          <w:spacing w:val="-7"/>
        </w:rPr>
        <w:t xml:space="preserve"> </w:t>
      </w:r>
      <w:r>
        <w:t>en</w:t>
      </w:r>
      <w:r w:rsidRPr="00D20A04">
        <w:rPr>
          <w:spacing w:val="-5"/>
        </w:rPr>
        <w:t xml:space="preserve"> </w:t>
      </w:r>
      <w:r>
        <w:t>fosfaatsuppletie</w:t>
      </w:r>
      <w:r w:rsidRPr="00D20A04">
        <w:rPr>
          <w:spacing w:val="-4"/>
        </w:rPr>
        <w:t xml:space="preserve"> </w:t>
      </w:r>
      <w:r w:rsidRPr="00D20A04">
        <w:rPr>
          <w:spacing w:val="-2"/>
        </w:rPr>
        <w:t>(hierna</w:t>
      </w:r>
      <w:r w:rsidR="00D20A04">
        <w:rPr>
          <w:spacing w:val="-2"/>
        </w:rPr>
        <w:t xml:space="preserve"> </w:t>
      </w:r>
      <w:r>
        <w:t>“conventionele</w:t>
      </w:r>
      <w:r w:rsidRPr="00D20A04">
        <w:rPr>
          <w:spacing w:val="-7"/>
        </w:rPr>
        <w:t xml:space="preserve"> </w:t>
      </w:r>
      <w:r>
        <w:t>therapie”</w:t>
      </w:r>
      <w:r w:rsidRPr="00D20A04">
        <w:rPr>
          <w:spacing w:val="-4"/>
        </w:rPr>
        <w:t xml:space="preserve"> </w:t>
      </w:r>
      <w:r>
        <w:t>genoemd)</w:t>
      </w:r>
      <w:r w:rsidRPr="00D20A04">
        <w:rPr>
          <w:spacing w:val="-5"/>
        </w:rPr>
        <w:t xml:space="preserve"> </w:t>
      </w:r>
      <w:r>
        <w:t>bij</w:t>
      </w:r>
      <w:r w:rsidRPr="00D20A04">
        <w:rPr>
          <w:spacing w:val="-4"/>
        </w:rPr>
        <w:t xml:space="preserve"> </w:t>
      </w:r>
      <w:r>
        <w:t>patiënten</w:t>
      </w:r>
      <w:r w:rsidRPr="00D20A04">
        <w:rPr>
          <w:spacing w:val="-5"/>
        </w:rPr>
        <w:t xml:space="preserve"> </w:t>
      </w:r>
      <w:r>
        <w:t>bij</w:t>
      </w:r>
      <w:r w:rsidRPr="00D20A04">
        <w:rPr>
          <w:spacing w:val="-8"/>
        </w:rPr>
        <w:t xml:space="preserve"> </w:t>
      </w:r>
      <w:r>
        <w:t>wie</w:t>
      </w:r>
      <w:r w:rsidRPr="00D20A04">
        <w:rPr>
          <w:spacing w:val="-4"/>
        </w:rPr>
        <w:t xml:space="preserve"> </w:t>
      </w:r>
      <w:r>
        <w:t>de</w:t>
      </w:r>
      <w:r w:rsidRPr="00D20A04">
        <w:rPr>
          <w:spacing w:val="-7"/>
        </w:rPr>
        <w:t xml:space="preserve"> </w:t>
      </w:r>
      <w:r>
        <w:t>groeischijven</w:t>
      </w:r>
      <w:r w:rsidRPr="00D20A04">
        <w:rPr>
          <w:spacing w:val="-5"/>
        </w:rPr>
        <w:t xml:space="preserve"> </w:t>
      </w:r>
      <w:r>
        <w:t>open</w:t>
      </w:r>
      <w:r w:rsidRPr="00D20A04">
        <w:rPr>
          <w:spacing w:val="-6"/>
        </w:rPr>
        <w:t xml:space="preserve"> </w:t>
      </w:r>
      <w:r w:rsidRPr="00D20A04">
        <w:rPr>
          <w:spacing w:val="-4"/>
        </w:rPr>
        <w:t>zijn</w:t>
      </w:r>
    </w:p>
    <w:p w14:paraId="4137A4A8" w14:textId="77777777" w:rsidR="00D149BB" w:rsidRDefault="00D149BB">
      <w:pPr>
        <w:pStyle w:val="BodyText"/>
        <w:spacing w:before="39"/>
        <w:ind w:left="861"/>
      </w:pPr>
    </w:p>
    <w:p w14:paraId="6536623E" w14:textId="77777777" w:rsidR="00861D40" w:rsidRDefault="00861D40">
      <w:pPr>
        <w:pStyle w:val="BodyText"/>
        <w:spacing w:before="82"/>
        <w:ind w:left="0"/>
      </w:pPr>
    </w:p>
    <w:p w14:paraId="7263CC72" w14:textId="0DBD5885" w:rsidR="00861D40" w:rsidRDefault="00A31D89">
      <w:pPr>
        <w:pStyle w:val="BodyText"/>
        <w:spacing w:line="273" w:lineRule="auto"/>
      </w:pPr>
      <w:r>
        <w:t>Daarnaast</w:t>
      </w:r>
      <w:r>
        <w:rPr>
          <w:spacing w:val="-4"/>
        </w:rPr>
        <w:t xml:space="preserve"> </w:t>
      </w:r>
      <w:r>
        <w:t>kan</w:t>
      </w:r>
      <w:r>
        <w:rPr>
          <w:spacing w:val="-2"/>
        </w:rPr>
        <w:t xml:space="preserve"> </w:t>
      </w:r>
      <w:r>
        <w:t>in</w:t>
      </w:r>
      <w:r>
        <w:rPr>
          <w:spacing w:val="-2"/>
        </w:rPr>
        <w:t xml:space="preserve"> </w:t>
      </w:r>
      <w:r>
        <w:t>uitzonderingsgevallen,</w:t>
      </w:r>
      <w:r>
        <w:rPr>
          <w:spacing w:val="-2"/>
        </w:rPr>
        <w:t xml:space="preserve"> </w:t>
      </w:r>
      <w:r>
        <w:t>na</w:t>
      </w:r>
      <w:r>
        <w:rPr>
          <w:spacing w:val="-2"/>
        </w:rPr>
        <w:t xml:space="preserve"> </w:t>
      </w:r>
      <w:r>
        <w:t>goedkeuring</w:t>
      </w:r>
      <w:r>
        <w:rPr>
          <w:spacing w:val="-2"/>
        </w:rPr>
        <w:t xml:space="preserve"> </w:t>
      </w:r>
      <w:r>
        <w:t>door</w:t>
      </w:r>
      <w:r>
        <w:rPr>
          <w:spacing w:val="-4"/>
        </w:rPr>
        <w:t xml:space="preserve"> </w:t>
      </w:r>
      <w:r>
        <w:t>de</w:t>
      </w:r>
      <w:r>
        <w:rPr>
          <w:spacing w:val="-1"/>
        </w:rPr>
        <w:t xml:space="preserve"> </w:t>
      </w:r>
      <w:r w:rsidR="00D20A04">
        <w:t>Indicatiecommissie</w:t>
      </w:r>
      <w:r>
        <w:t>,</w:t>
      </w:r>
      <w:r>
        <w:rPr>
          <w:spacing w:val="-1"/>
        </w:rPr>
        <w:t xml:space="preserve"> </w:t>
      </w:r>
      <w:r>
        <w:t>een</w:t>
      </w:r>
      <w:r>
        <w:rPr>
          <w:spacing w:val="-2"/>
        </w:rPr>
        <w:t xml:space="preserve"> </w:t>
      </w:r>
      <w:r>
        <w:t>off-label indicatie</w:t>
      </w:r>
      <w:r>
        <w:rPr>
          <w:spacing w:val="-7"/>
        </w:rPr>
        <w:t xml:space="preserve"> </w:t>
      </w:r>
      <w:r>
        <w:t>worden</w:t>
      </w:r>
      <w:r>
        <w:rPr>
          <w:spacing w:val="-4"/>
        </w:rPr>
        <w:t xml:space="preserve"> </w:t>
      </w:r>
      <w:r>
        <w:t>afgeven</w:t>
      </w:r>
      <w:r>
        <w:rPr>
          <w:spacing w:val="-4"/>
        </w:rPr>
        <w:t xml:space="preserve"> </w:t>
      </w:r>
      <w:r>
        <w:t>conform</w:t>
      </w:r>
      <w:r>
        <w:rPr>
          <w:spacing w:val="-2"/>
        </w:rPr>
        <w:t xml:space="preserve"> </w:t>
      </w:r>
      <w:r>
        <w:t>de</w:t>
      </w:r>
      <w:r>
        <w:rPr>
          <w:spacing w:val="-6"/>
        </w:rPr>
        <w:t xml:space="preserve"> </w:t>
      </w:r>
      <w:r>
        <w:t>situatie</w:t>
      </w:r>
      <w:r>
        <w:rPr>
          <w:spacing w:val="-3"/>
        </w:rPr>
        <w:t xml:space="preserve"> </w:t>
      </w:r>
      <w:r>
        <w:t>bij</w:t>
      </w:r>
      <w:r>
        <w:rPr>
          <w:spacing w:val="-7"/>
        </w:rPr>
        <w:t xml:space="preserve"> </w:t>
      </w:r>
      <w:r>
        <w:t>volwassenen.</w:t>
      </w:r>
      <w:r>
        <w:rPr>
          <w:spacing w:val="-4"/>
        </w:rPr>
        <w:t xml:space="preserve"> </w:t>
      </w:r>
      <w:r>
        <w:t>Zie</w:t>
      </w:r>
      <w:r>
        <w:rPr>
          <w:spacing w:val="-5"/>
        </w:rPr>
        <w:t xml:space="preserve"> </w:t>
      </w:r>
      <w:r>
        <w:t>hiervoor</w:t>
      </w:r>
      <w:r>
        <w:rPr>
          <w:spacing w:val="-4"/>
        </w:rPr>
        <w:t xml:space="preserve"> </w:t>
      </w:r>
      <w:r>
        <w:t>sectie</w:t>
      </w:r>
      <w:r>
        <w:rPr>
          <w:spacing w:val="-4"/>
        </w:rPr>
        <w:t xml:space="preserve"> </w:t>
      </w:r>
      <w:r>
        <w:t>3.1</w:t>
      </w:r>
      <w:r>
        <w:rPr>
          <w:spacing w:val="-5"/>
        </w:rPr>
        <w:t>.</w:t>
      </w:r>
    </w:p>
    <w:p w14:paraId="1DC8707E" w14:textId="77777777" w:rsidR="00861D40" w:rsidRDefault="00A31D89">
      <w:pPr>
        <w:pStyle w:val="BodyText"/>
        <w:spacing w:before="34" w:line="276" w:lineRule="auto"/>
        <w:ind w:right="251"/>
      </w:pPr>
      <w:r>
        <w:t>Onder</w:t>
      </w:r>
      <w:r>
        <w:rPr>
          <w:spacing w:val="-3"/>
        </w:rPr>
        <w:t xml:space="preserve"> </w:t>
      </w:r>
      <w:r>
        <w:t>ernstige</w:t>
      </w:r>
      <w:r>
        <w:rPr>
          <w:spacing w:val="-3"/>
        </w:rPr>
        <w:t xml:space="preserve"> </w:t>
      </w:r>
      <w:proofErr w:type="spellStart"/>
      <w:r>
        <w:t>hypofosfatemie</w:t>
      </w:r>
      <w:proofErr w:type="spellEnd"/>
      <w:r>
        <w:rPr>
          <w:spacing w:val="-1"/>
        </w:rPr>
        <w:t xml:space="preserve"> </w:t>
      </w:r>
      <w:r>
        <w:t>wordt</w:t>
      </w:r>
      <w:r>
        <w:rPr>
          <w:spacing w:val="-2"/>
        </w:rPr>
        <w:t xml:space="preserve"> </w:t>
      </w:r>
      <w:r>
        <w:t>dan</w:t>
      </w:r>
      <w:r>
        <w:rPr>
          <w:spacing w:val="-6"/>
        </w:rPr>
        <w:t xml:space="preserve"> </w:t>
      </w:r>
      <w:r>
        <w:t>verstaan</w:t>
      </w:r>
      <w:r>
        <w:rPr>
          <w:spacing w:val="-5"/>
        </w:rPr>
        <w:t xml:space="preserve"> </w:t>
      </w:r>
      <w:r>
        <w:t>een</w:t>
      </w:r>
      <w:r>
        <w:rPr>
          <w:spacing w:val="-3"/>
        </w:rPr>
        <w:t xml:space="preserve"> </w:t>
      </w:r>
      <w:r>
        <w:t>plasma</w:t>
      </w:r>
      <w:r>
        <w:rPr>
          <w:spacing w:val="-5"/>
        </w:rPr>
        <w:t xml:space="preserve"> </w:t>
      </w:r>
      <w:r>
        <w:t>fosfaat</w:t>
      </w:r>
      <w:r>
        <w:rPr>
          <w:spacing w:val="-3"/>
        </w:rPr>
        <w:t xml:space="preserve"> </w:t>
      </w:r>
      <w:r>
        <w:t>ruim</w:t>
      </w:r>
      <w:r>
        <w:rPr>
          <w:spacing w:val="-4"/>
        </w:rPr>
        <w:t xml:space="preserve"> </w:t>
      </w:r>
      <w:r>
        <w:t>onder</w:t>
      </w:r>
      <w:r>
        <w:rPr>
          <w:spacing w:val="-3"/>
        </w:rPr>
        <w:t xml:space="preserve"> </w:t>
      </w:r>
      <w:r>
        <w:t>de</w:t>
      </w:r>
      <w:r>
        <w:rPr>
          <w:spacing w:val="-4"/>
        </w:rPr>
        <w:t xml:space="preserve"> </w:t>
      </w:r>
      <w:r>
        <w:t>voor</w:t>
      </w:r>
      <w:r>
        <w:rPr>
          <w:spacing w:val="-3"/>
        </w:rPr>
        <w:t xml:space="preserve"> </w:t>
      </w:r>
      <w:r>
        <w:t>de leeftijd geldende normaalwaarden.</w:t>
      </w:r>
    </w:p>
    <w:p w14:paraId="2D90415B" w14:textId="77777777" w:rsidR="00861D40" w:rsidRDefault="00861D40">
      <w:pPr>
        <w:pStyle w:val="BodyText"/>
        <w:spacing w:before="41"/>
        <w:ind w:left="0"/>
      </w:pPr>
    </w:p>
    <w:p w14:paraId="122800A6" w14:textId="1C9786AE" w:rsidR="00861D40" w:rsidRDefault="00A31D89">
      <w:pPr>
        <w:pStyle w:val="BodyText"/>
        <w:spacing w:line="276" w:lineRule="auto"/>
        <w:ind w:right="251"/>
      </w:pPr>
      <w:r>
        <w:t xml:space="preserve">De indicatie voor behandeling van kinderen en adolescenten met </w:t>
      </w:r>
      <w:proofErr w:type="spellStart"/>
      <w:r>
        <w:t>burosumab</w:t>
      </w:r>
      <w:proofErr w:type="spellEnd"/>
      <w:r>
        <w:t xml:space="preserve"> en de jaarlijkse controle vindt plaats in het UMCG in Groningen op de gecombineerde kinderendocrinologie en kindernefrologie polikliniek voor kinderen met XLH. De patiënten worden elke 3</w:t>
      </w:r>
      <w:r w:rsidR="00781F0C">
        <w:t>-4</w:t>
      </w:r>
      <w:r>
        <w:t xml:space="preserve"> maanden poliklinisch</w:t>
      </w:r>
      <w:r>
        <w:rPr>
          <w:spacing w:val="-3"/>
        </w:rPr>
        <w:t xml:space="preserve"> </w:t>
      </w:r>
      <w:r>
        <w:t>gecontroleerd</w:t>
      </w:r>
      <w:r>
        <w:rPr>
          <w:spacing w:val="-5"/>
        </w:rPr>
        <w:t xml:space="preserve"> </w:t>
      </w:r>
      <w:r>
        <w:t>waarbij</w:t>
      </w:r>
      <w:r>
        <w:rPr>
          <w:spacing w:val="-2"/>
        </w:rPr>
        <w:t xml:space="preserve"> </w:t>
      </w:r>
      <w:r>
        <w:t>de</w:t>
      </w:r>
      <w:r>
        <w:rPr>
          <w:spacing w:val="-5"/>
        </w:rPr>
        <w:t xml:space="preserve"> </w:t>
      </w:r>
      <w:r>
        <w:t>tussentijdse</w:t>
      </w:r>
      <w:r>
        <w:rPr>
          <w:spacing w:val="-1"/>
        </w:rPr>
        <w:t xml:space="preserve"> </w:t>
      </w:r>
      <w:r>
        <w:t>controles</w:t>
      </w:r>
      <w:r>
        <w:rPr>
          <w:spacing w:val="-4"/>
        </w:rPr>
        <w:t xml:space="preserve"> </w:t>
      </w:r>
      <w:r>
        <w:t>in</w:t>
      </w:r>
      <w:r>
        <w:rPr>
          <w:spacing w:val="-3"/>
        </w:rPr>
        <w:t xml:space="preserve"> </w:t>
      </w:r>
      <w:r>
        <w:t>de</w:t>
      </w:r>
      <w:r>
        <w:rPr>
          <w:spacing w:val="-2"/>
        </w:rPr>
        <w:t xml:space="preserve"> </w:t>
      </w:r>
      <w:r>
        <w:t>regio</w:t>
      </w:r>
      <w:r>
        <w:rPr>
          <w:spacing w:val="-2"/>
        </w:rPr>
        <w:t xml:space="preserve"> </w:t>
      </w:r>
      <w:r>
        <w:t>plaats</w:t>
      </w:r>
      <w:r>
        <w:rPr>
          <w:spacing w:val="-5"/>
        </w:rPr>
        <w:t xml:space="preserve"> </w:t>
      </w:r>
      <w:r>
        <w:t>vinden</w:t>
      </w:r>
      <w:r>
        <w:rPr>
          <w:spacing w:val="-2"/>
        </w:rPr>
        <w:t xml:space="preserve"> </w:t>
      </w:r>
      <w:r>
        <w:t>(in</w:t>
      </w:r>
      <w:r>
        <w:rPr>
          <w:spacing w:val="-3"/>
        </w:rPr>
        <w:t xml:space="preserve"> </w:t>
      </w:r>
      <w:r>
        <w:t xml:space="preserve">“shared care”). De </w:t>
      </w:r>
      <w:proofErr w:type="spellStart"/>
      <w:r>
        <w:t>burosumab</w:t>
      </w:r>
      <w:proofErr w:type="spellEnd"/>
      <w:r>
        <w:t xml:space="preserve"> toedieningen vinden plaats in de thuissituatie (doorgaans</w:t>
      </w:r>
      <w:r>
        <w:rPr>
          <w:spacing w:val="-2"/>
        </w:rPr>
        <w:t xml:space="preserve"> </w:t>
      </w:r>
      <w:r>
        <w:t xml:space="preserve">door ouders of </w:t>
      </w:r>
      <w:r>
        <w:rPr>
          <w:spacing w:val="-2"/>
        </w:rPr>
        <w:t>thuiszorg).</w:t>
      </w:r>
    </w:p>
    <w:p w14:paraId="23ADA9D0" w14:textId="77777777" w:rsidR="00861D40" w:rsidRDefault="00861D40">
      <w:pPr>
        <w:pStyle w:val="BodyText"/>
        <w:spacing w:before="40"/>
        <w:ind w:left="0"/>
      </w:pPr>
    </w:p>
    <w:p w14:paraId="58584B4E" w14:textId="77777777" w:rsidR="00861D40" w:rsidRDefault="00A31D89">
      <w:pPr>
        <w:pStyle w:val="BodyText"/>
        <w:spacing w:before="1" w:line="276" w:lineRule="auto"/>
        <w:ind w:right="159"/>
      </w:pPr>
      <w:r>
        <w:t xml:space="preserve">Adolescenten die met </w:t>
      </w:r>
      <w:proofErr w:type="spellStart"/>
      <w:r>
        <w:t>burosumab</w:t>
      </w:r>
      <w:proofErr w:type="spellEnd"/>
      <w:r>
        <w:t xml:space="preserve"> worden behandeld, continueren </w:t>
      </w:r>
      <w:proofErr w:type="spellStart"/>
      <w:r>
        <w:t>burosumab</w:t>
      </w:r>
      <w:proofErr w:type="spellEnd"/>
      <w:r>
        <w:t xml:space="preserve"> tot de leeftijd van 20 jaar</w:t>
      </w:r>
      <w:r>
        <w:rPr>
          <w:spacing w:val="-4"/>
        </w:rPr>
        <w:t xml:space="preserve"> </w:t>
      </w:r>
      <w:r>
        <w:t>omdat</w:t>
      </w:r>
      <w:r>
        <w:rPr>
          <w:spacing w:val="-3"/>
        </w:rPr>
        <w:t xml:space="preserve"> </w:t>
      </w:r>
      <w:r>
        <w:t>piekbotmassa</w:t>
      </w:r>
      <w:r>
        <w:rPr>
          <w:spacing w:val="-3"/>
        </w:rPr>
        <w:t xml:space="preserve"> </w:t>
      </w:r>
      <w:r>
        <w:t>pas</w:t>
      </w:r>
      <w:r>
        <w:rPr>
          <w:spacing w:val="-2"/>
        </w:rPr>
        <w:t xml:space="preserve"> </w:t>
      </w:r>
      <w:r>
        <w:t>na</w:t>
      </w:r>
      <w:r>
        <w:rPr>
          <w:spacing w:val="-3"/>
        </w:rPr>
        <w:t xml:space="preserve"> </w:t>
      </w:r>
      <w:r>
        <w:t>het</w:t>
      </w:r>
      <w:r>
        <w:rPr>
          <w:spacing w:val="-4"/>
        </w:rPr>
        <w:t xml:space="preserve"> </w:t>
      </w:r>
      <w:r>
        <w:t>18e</w:t>
      </w:r>
      <w:r>
        <w:rPr>
          <w:spacing w:val="-2"/>
        </w:rPr>
        <w:t xml:space="preserve"> </w:t>
      </w:r>
      <w:r>
        <w:t>levensjaar</w:t>
      </w:r>
      <w:r>
        <w:rPr>
          <w:spacing w:val="-5"/>
        </w:rPr>
        <w:t xml:space="preserve"> </w:t>
      </w:r>
      <w:r>
        <w:t>wordt</w:t>
      </w:r>
      <w:r>
        <w:rPr>
          <w:spacing w:val="-2"/>
        </w:rPr>
        <w:t xml:space="preserve"> </w:t>
      </w:r>
      <w:r>
        <w:t>bereikt.</w:t>
      </w:r>
      <w:r>
        <w:rPr>
          <w:spacing w:val="-3"/>
        </w:rPr>
        <w:t xml:space="preserve"> </w:t>
      </w:r>
      <w:r>
        <w:t>Na</w:t>
      </w:r>
      <w:r>
        <w:rPr>
          <w:spacing w:val="-5"/>
        </w:rPr>
        <w:t xml:space="preserve"> </w:t>
      </w:r>
      <w:r>
        <w:t>het</w:t>
      </w:r>
      <w:r>
        <w:rPr>
          <w:spacing w:val="-2"/>
        </w:rPr>
        <w:t xml:space="preserve"> </w:t>
      </w:r>
      <w:r>
        <w:t>bereiken</w:t>
      </w:r>
      <w:r>
        <w:rPr>
          <w:spacing w:val="-3"/>
        </w:rPr>
        <w:t xml:space="preserve"> </w:t>
      </w:r>
      <w:r>
        <w:t>van</w:t>
      </w:r>
      <w:r>
        <w:rPr>
          <w:spacing w:val="-3"/>
        </w:rPr>
        <w:t xml:space="preserve"> </w:t>
      </w:r>
      <w:r>
        <w:t>de</w:t>
      </w:r>
      <w:r>
        <w:rPr>
          <w:spacing w:val="-2"/>
        </w:rPr>
        <w:t xml:space="preserve"> </w:t>
      </w:r>
      <w:r>
        <w:t xml:space="preserve">eindlengte wordt de frequentie van de medicatie omgezet van eens per twee weken naar eens per vier weken. De doseringsfrequentie kan eventueel worden aangepast door de behandelend arts op geleide van de </w:t>
      </w:r>
      <w:proofErr w:type="spellStart"/>
      <w:r>
        <w:t>dalspiegel</w:t>
      </w:r>
      <w:proofErr w:type="spellEnd"/>
      <w:r>
        <w:rPr>
          <w:spacing w:val="-2"/>
        </w:rPr>
        <w:t xml:space="preserve"> </w:t>
      </w:r>
      <w:r>
        <w:t>van</w:t>
      </w:r>
      <w:r>
        <w:rPr>
          <w:spacing w:val="-1"/>
        </w:rPr>
        <w:t xml:space="preserve"> </w:t>
      </w:r>
      <w:r>
        <w:t>het</w:t>
      </w:r>
      <w:r>
        <w:rPr>
          <w:spacing w:val="-1"/>
        </w:rPr>
        <w:t xml:space="preserve"> </w:t>
      </w:r>
      <w:r>
        <w:t>serum fosfaat</w:t>
      </w:r>
      <w:r>
        <w:rPr>
          <w:spacing w:val="-2"/>
        </w:rPr>
        <w:t xml:space="preserve"> </w:t>
      </w:r>
      <w:r>
        <w:t>(interval</w:t>
      </w:r>
      <w:r>
        <w:rPr>
          <w:spacing w:val="-2"/>
        </w:rPr>
        <w:t xml:space="preserve"> </w:t>
      </w:r>
      <w:r>
        <w:t>verkorten bij een te laag serum fosfaat) en/of</w:t>
      </w:r>
      <w:r>
        <w:rPr>
          <w:spacing w:val="-2"/>
        </w:rPr>
        <w:t xml:space="preserve"> </w:t>
      </w:r>
      <w:r>
        <w:t>maximale fosfaatterugresorptie (</w:t>
      </w:r>
      <w:proofErr w:type="spellStart"/>
      <w:r>
        <w:t>TmP</w:t>
      </w:r>
      <w:proofErr w:type="spellEnd"/>
      <w:r>
        <w:t>/GFR). Vanaf de leeftijd van 18 jaar zal de behandeling overgedragen worden aan een endocrinoloog of nefroloog met ervaring in de behandeling van patiënten met XLH.</w:t>
      </w:r>
    </w:p>
    <w:p w14:paraId="4E4DD8C2" w14:textId="77777777" w:rsidR="00861D40" w:rsidRDefault="00861D40">
      <w:pPr>
        <w:pStyle w:val="BodyText"/>
        <w:ind w:left="0"/>
      </w:pPr>
    </w:p>
    <w:p w14:paraId="1B817A1F" w14:textId="77777777" w:rsidR="00861D40" w:rsidRDefault="00861D40">
      <w:pPr>
        <w:pStyle w:val="BodyText"/>
        <w:spacing w:before="80"/>
        <w:ind w:left="0"/>
      </w:pPr>
    </w:p>
    <w:p w14:paraId="5136C377" w14:textId="77777777" w:rsidR="00861D40" w:rsidRDefault="00A31D89">
      <w:pPr>
        <w:pStyle w:val="Heading1"/>
        <w:numPr>
          <w:ilvl w:val="0"/>
          <w:numId w:val="5"/>
        </w:numPr>
        <w:tabs>
          <w:tab w:val="left" w:pos="360"/>
        </w:tabs>
        <w:ind w:left="360" w:hanging="219"/>
      </w:pPr>
      <w:proofErr w:type="spellStart"/>
      <w:r>
        <w:t>Burosumab</w:t>
      </w:r>
      <w:proofErr w:type="spellEnd"/>
      <w:r>
        <w:rPr>
          <w:spacing w:val="-5"/>
        </w:rPr>
        <w:t xml:space="preserve"> </w:t>
      </w:r>
      <w:r>
        <w:t>bij</w:t>
      </w:r>
      <w:r>
        <w:rPr>
          <w:spacing w:val="-5"/>
        </w:rPr>
        <w:t xml:space="preserve"> </w:t>
      </w:r>
      <w:r>
        <w:rPr>
          <w:spacing w:val="-2"/>
        </w:rPr>
        <w:t>volwassenen</w:t>
      </w:r>
    </w:p>
    <w:p w14:paraId="3CF57BA8" w14:textId="6A82CCA3" w:rsidR="00861D40" w:rsidRDefault="00A31D89" w:rsidP="007D030E">
      <w:pPr>
        <w:pStyle w:val="BodyText"/>
        <w:spacing w:before="41" w:line="276" w:lineRule="auto"/>
        <w:ind w:right="146"/>
      </w:pPr>
      <w:r>
        <w:t xml:space="preserve">Er is een beperkte groep </w:t>
      </w:r>
      <w:r w:rsidR="008C6291">
        <w:t xml:space="preserve">dragers van </w:t>
      </w:r>
      <w:r w:rsidR="007D030E">
        <w:t>een</w:t>
      </w:r>
      <w:r>
        <w:t xml:space="preserve"> XLH </w:t>
      </w:r>
      <w:r w:rsidR="008C6291">
        <w:t xml:space="preserve">mutatie </w:t>
      </w:r>
      <w:r>
        <w:t>zonder klachten en een normaal serum fosfaat zonder behandeling.</w:t>
      </w:r>
      <w:r>
        <w:rPr>
          <w:spacing w:val="-3"/>
        </w:rPr>
        <w:t xml:space="preserve"> </w:t>
      </w:r>
      <w:r>
        <w:t>De</w:t>
      </w:r>
      <w:r>
        <w:rPr>
          <w:spacing w:val="-5"/>
        </w:rPr>
        <w:t xml:space="preserve"> </w:t>
      </w:r>
      <w:r>
        <w:t>meerderheid</w:t>
      </w:r>
      <w:r>
        <w:rPr>
          <w:spacing w:val="-2"/>
        </w:rPr>
        <w:t xml:space="preserve"> </w:t>
      </w:r>
      <w:r>
        <w:t>van</w:t>
      </w:r>
      <w:r>
        <w:rPr>
          <w:spacing w:val="-4"/>
        </w:rPr>
        <w:t xml:space="preserve"> </w:t>
      </w:r>
      <w:r>
        <w:t>de</w:t>
      </w:r>
      <w:r>
        <w:rPr>
          <w:spacing w:val="-5"/>
        </w:rPr>
        <w:t xml:space="preserve"> </w:t>
      </w:r>
      <w:r w:rsidR="008C6291">
        <w:t>dragers van deze mutatie</w:t>
      </w:r>
      <w:r w:rsidR="008C6291">
        <w:rPr>
          <w:spacing w:val="-3"/>
        </w:rPr>
        <w:t xml:space="preserve"> </w:t>
      </w:r>
      <w:r>
        <w:t>heeft</w:t>
      </w:r>
      <w:r>
        <w:rPr>
          <w:spacing w:val="-4"/>
        </w:rPr>
        <w:t xml:space="preserve"> </w:t>
      </w:r>
      <w:r w:rsidR="007D030E">
        <w:rPr>
          <w:spacing w:val="-4"/>
        </w:rPr>
        <w:t xml:space="preserve">echter </w:t>
      </w:r>
      <w:r>
        <w:t>een</w:t>
      </w:r>
      <w:r>
        <w:rPr>
          <w:spacing w:val="-3"/>
        </w:rPr>
        <w:t xml:space="preserve"> </w:t>
      </w:r>
      <w:proofErr w:type="spellStart"/>
      <w:r>
        <w:t>hypofosfatemie</w:t>
      </w:r>
      <w:proofErr w:type="spellEnd"/>
      <w:r>
        <w:rPr>
          <w:spacing w:val="-4"/>
        </w:rPr>
        <w:t xml:space="preserve"> </w:t>
      </w:r>
      <w:r>
        <w:t>en/of</w:t>
      </w:r>
      <w:r>
        <w:rPr>
          <w:spacing w:val="-2"/>
        </w:rPr>
        <w:t xml:space="preserve"> </w:t>
      </w:r>
      <w:r>
        <w:t>klachten</w:t>
      </w:r>
      <w:r>
        <w:rPr>
          <w:spacing w:val="-3"/>
        </w:rPr>
        <w:t xml:space="preserve"> </w:t>
      </w:r>
      <w:r>
        <w:t>(zie hieronder);</w:t>
      </w:r>
      <w:r>
        <w:rPr>
          <w:spacing w:val="-2"/>
        </w:rPr>
        <w:t xml:space="preserve"> </w:t>
      </w:r>
      <w:r>
        <w:t>zij</w:t>
      </w:r>
      <w:r>
        <w:rPr>
          <w:spacing w:val="-4"/>
        </w:rPr>
        <w:t xml:space="preserve"> </w:t>
      </w:r>
      <w:r>
        <w:t>kunnen</w:t>
      </w:r>
      <w:r>
        <w:rPr>
          <w:spacing w:val="-5"/>
        </w:rPr>
        <w:t xml:space="preserve"> </w:t>
      </w:r>
      <w:r>
        <w:t>worden</w:t>
      </w:r>
      <w:r>
        <w:rPr>
          <w:spacing w:val="-4"/>
        </w:rPr>
        <w:t xml:space="preserve"> </w:t>
      </w:r>
      <w:r>
        <w:t>behandeld</w:t>
      </w:r>
      <w:r>
        <w:rPr>
          <w:spacing w:val="-4"/>
        </w:rPr>
        <w:t xml:space="preserve"> </w:t>
      </w:r>
      <w:r>
        <w:t>met</w:t>
      </w:r>
      <w:r>
        <w:rPr>
          <w:spacing w:val="-4"/>
        </w:rPr>
        <w:t xml:space="preserve"> </w:t>
      </w:r>
      <w:r w:rsidR="00D20A04">
        <w:rPr>
          <w:spacing w:val="-4"/>
        </w:rPr>
        <w:t>actief vitamine D</w:t>
      </w:r>
      <w:r w:rsidR="007D030E" w:rsidRPr="007D030E">
        <w:rPr>
          <w:spacing w:val="-4"/>
        </w:rPr>
        <w:t xml:space="preserve"> en fosfaatsuppletie (hierna</w:t>
      </w:r>
      <w:r w:rsidR="007D030E">
        <w:rPr>
          <w:spacing w:val="-4"/>
        </w:rPr>
        <w:t xml:space="preserve"> ‘</w:t>
      </w:r>
      <w:r>
        <w:t>conventionele</w:t>
      </w:r>
      <w:r>
        <w:rPr>
          <w:spacing w:val="-4"/>
        </w:rPr>
        <w:t xml:space="preserve"> </w:t>
      </w:r>
      <w:r>
        <w:t>therapie</w:t>
      </w:r>
      <w:r w:rsidR="007D030E">
        <w:t xml:space="preserve">’ </w:t>
      </w:r>
      <w:r w:rsidR="007D030E" w:rsidRPr="007D030E">
        <w:rPr>
          <w:spacing w:val="-4"/>
        </w:rPr>
        <w:t>genoemd</w:t>
      </w:r>
      <w:r w:rsidR="007D030E">
        <w:rPr>
          <w:spacing w:val="-4"/>
        </w:rPr>
        <w:t>)</w:t>
      </w:r>
      <w:r>
        <w:t>.</w:t>
      </w:r>
      <w:r>
        <w:rPr>
          <w:spacing w:val="-4"/>
        </w:rPr>
        <w:t xml:space="preserve"> </w:t>
      </w:r>
      <w:r>
        <w:t>In</w:t>
      </w:r>
      <w:r>
        <w:rPr>
          <w:spacing w:val="-4"/>
        </w:rPr>
        <w:t xml:space="preserve"> </w:t>
      </w:r>
      <w:r>
        <w:t>sommige</w:t>
      </w:r>
      <w:r>
        <w:rPr>
          <w:spacing w:val="-2"/>
        </w:rPr>
        <w:t xml:space="preserve"> </w:t>
      </w:r>
      <w:r>
        <w:t>gevallen</w:t>
      </w:r>
      <w:r>
        <w:rPr>
          <w:spacing w:val="-3"/>
        </w:rPr>
        <w:t xml:space="preserve"> </w:t>
      </w:r>
      <w:r>
        <w:t xml:space="preserve">volstaat conventionele therapie niet, en dan kan behandeling met </w:t>
      </w:r>
      <w:proofErr w:type="spellStart"/>
      <w:r>
        <w:t>burosumab</w:t>
      </w:r>
      <w:proofErr w:type="spellEnd"/>
      <w:r>
        <w:t xml:space="preserve"> worden overwogen als wordt voldaan aan onderstaande criteria. Vóór aanvang van behandeling met </w:t>
      </w:r>
      <w:proofErr w:type="spellStart"/>
      <w:r>
        <w:t>burosumab</w:t>
      </w:r>
      <w:proofErr w:type="spellEnd"/>
      <w:r>
        <w:t xml:space="preserve"> wordt de conventionele therapie gestaakt. </w:t>
      </w:r>
      <w:r w:rsidR="004642F6">
        <w:t xml:space="preserve">Voor behandeling met </w:t>
      </w:r>
      <w:proofErr w:type="spellStart"/>
      <w:r w:rsidR="004642F6">
        <w:t>burosumab</w:t>
      </w:r>
      <w:proofErr w:type="spellEnd"/>
      <w:r w:rsidR="004642F6">
        <w:t xml:space="preserve"> is een apart protocol (‘</w:t>
      </w:r>
      <w:r w:rsidR="004642F6" w:rsidRPr="004642F6">
        <w:t xml:space="preserve">Behandelprotocol </w:t>
      </w:r>
      <w:proofErr w:type="spellStart"/>
      <w:r w:rsidR="004642F6" w:rsidRPr="004642F6">
        <w:t>burosumab</w:t>
      </w:r>
      <w:proofErr w:type="spellEnd"/>
      <w:r w:rsidR="004642F6" w:rsidRPr="004642F6">
        <w:t xml:space="preserve"> bij XLH</w:t>
      </w:r>
      <w:r w:rsidR="004642F6">
        <w:t xml:space="preserve">’) opgesteld. </w:t>
      </w:r>
      <w:r>
        <w:t xml:space="preserve">Bij het gebruik van </w:t>
      </w:r>
      <w:proofErr w:type="spellStart"/>
      <w:r>
        <w:t>burosumab</w:t>
      </w:r>
      <w:proofErr w:type="spellEnd"/>
      <w:r>
        <w:t xml:space="preserve"> dienen </w:t>
      </w:r>
      <w:r w:rsidR="00D20A04">
        <w:t xml:space="preserve">verder ook </w:t>
      </w:r>
      <w:r>
        <w:t xml:space="preserve">de voorschriften en richtlijnen zoals opgenomen in het Farmacotherapeutisch Kompas te worden gevolgd (bijvoorbeeld ten aanzien van interacties, zwangerschap/lactatie </w:t>
      </w:r>
      <w:proofErr w:type="spellStart"/>
      <w:r>
        <w:t>etc</w:t>
      </w:r>
      <w:proofErr w:type="spellEnd"/>
      <w:r>
        <w:t>)</w:t>
      </w:r>
      <w:r w:rsidR="004642F6">
        <w:t xml:space="preserve">, </w:t>
      </w:r>
      <w:r>
        <w:t>.</w:t>
      </w:r>
    </w:p>
    <w:p w14:paraId="3095A430" w14:textId="77777777" w:rsidR="00861D40" w:rsidRDefault="00861D40">
      <w:pPr>
        <w:pStyle w:val="BodyText"/>
        <w:spacing w:before="41"/>
        <w:ind w:left="0"/>
      </w:pPr>
    </w:p>
    <w:p w14:paraId="77C89C34" w14:textId="77777777" w:rsidR="00861D40" w:rsidRDefault="00A31D89">
      <w:pPr>
        <w:pStyle w:val="ListParagraph"/>
        <w:numPr>
          <w:ilvl w:val="1"/>
          <w:numId w:val="5"/>
        </w:numPr>
        <w:tabs>
          <w:tab w:val="left" w:pos="420"/>
        </w:tabs>
        <w:ind w:left="420" w:hanging="279"/>
      </w:pPr>
      <w:r>
        <w:rPr>
          <w:spacing w:val="-3"/>
          <w:u w:val="single"/>
        </w:rPr>
        <w:t xml:space="preserve"> </w:t>
      </w:r>
      <w:r>
        <w:rPr>
          <w:u w:val="single"/>
        </w:rPr>
        <w:t>Indicatie</w:t>
      </w:r>
      <w:r>
        <w:rPr>
          <w:spacing w:val="-3"/>
          <w:u w:val="single"/>
        </w:rPr>
        <w:t xml:space="preserve"> </w:t>
      </w:r>
      <w:proofErr w:type="spellStart"/>
      <w:r>
        <w:rPr>
          <w:spacing w:val="-2"/>
          <w:u w:val="single"/>
        </w:rPr>
        <w:t>burosumab</w:t>
      </w:r>
      <w:proofErr w:type="spellEnd"/>
    </w:p>
    <w:p w14:paraId="661D5DC4" w14:textId="0B696F79" w:rsidR="00861D40" w:rsidRDefault="00D20A04">
      <w:pPr>
        <w:pStyle w:val="BodyText"/>
        <w:spacing w:before="41" w:line="276" w:lineRule="auto"/>
      </w:pPr>
      <w:r>
        <w:t>De</w:t>
      </w:r>
      <w:r w:rsidR="00A31D89">
        <w:t xml:space="preserve"> </w:t>
      </w:r>
      <w:r>
        <w:t xml:space="preserve">Indicatiecommissie, </w:t>
      </w:r>
      <w:r w:rsidR="00A31D89">
        <w:t>waarin deskundigen op het gebied van XLH zijn vertegenwoordigd vanuit</w:t>
      </w:r>
      <w:r w:rsidR="00A31D89">
        <w:rPr>
          <w:spacing w:val="-1"/>
        </w:rPr>
        <w:t xml:space="preserve"> </w:t>
      </w:r>
      <w:r w:rsidR="00A31D89">
        <w:t>verschillende disciplines (waaronder endocrinologie en</w:t>
      </w:r>
      <w:r w:rsidR="00A31D89">
        <w:rPr>
          <w:spacing w:val="-2"/>
        </w:rPr>
        <w:t xml:space="preserve"> </w:t>
      </w:r>
      <w:r w:rsidR="00A31D89">
        <w:t>nefrologie, zie</w:t>
      </w:r>
      <w:r w:rsidR="00A31D89">
        <w:rPr>
          <w:spacing w:val="-1"/>
        </w:rPr>
        <w:t xml:space="preserve"> </w:t>
      </w:r>
      <w:r w:rsidR="00A31D89">
        <w:t>ook punt</w:t>
      </w:r>
      <w:r w:rsidR="00A31D89">
        <w:rPr>
          <w:spacing w:val="-1"/>
        </w:rPr>
        <w:t xml:space="preserve"> </w:t>
      </w:r>
      <w:r w:rsidR="00A31D89">
        <w:t>4),</w:t>
      </w:r>
      <w:r w:rsidR="00A31D89">
        <w:rPr>
          <w:spacing w:val="-3"/>
        </w:rPr>
        <w:t xml:space="preserve"> </w:t>
      </w:r>
      <w:r w:rsidR="00A31D89">
        <w:t>beoordeelt</w:t>
      </w:r>
      <w:r w:rsidR="00A31D89">
        <w:rPr>
          <w:spacing w:val="-2"/>
        </w:rPr>
        <w:t xml:space="preserve"> </w:t>
      </w:r>
      <w:r>
        <w:rPr>
          <w:spacing w:val="-2"/>
        </w:rPr>
        <w:t xml:space="preserve">per casus </w:t>
      </w:r>
      <w:r w:rsidR="00A31D89">
        <w:t>of</w:t>
      </w:r>
      <w:r w:rsidR="00A31D89">
        <w:rPr>
          <w:spacing w:val="-1"/>
        </w:rPr>
        <w:t xml:space="preserve"> </w:t>
      </w:r>
      <w:r w:rsidR="00A31D89">
        <w:t>aan</w:t>
      </w:r>
      <w:r w:rsidR="00A31D89">
        <w:rPr>
          <w:spacing w:val="-1"/>
        </w:rPr>
        <w:t xml:space="preserve"> </w:t>
      </w:r>
      <w:r w:rsidR="00A31D89">
        <w:t>de</w:t>
      </w:r>
      <w:r w:rsidR="00A31D89">
        <w:rPr>
          <w:spacing w:val="-3"/>
        </w:rPr>
        <w:t xml:space="preserve"> </w:t>
      </w:r>
      <w:r w:rsidR="00A31D89">
        <w:t>criteria</w:t>
      </w:r>
      <w:r w:rsidR="00A31D89">
        <w:rPr>
          <w:spacing w:val="-3"/>
        </w:rPr>
        <w:t xml:space="preserve"> </w:t>
      </w:r>
      <w:r w:rsidR="00A31D89">
        <w:t>voor behandeling</w:t>
      </w:r>
      <w:r w:rsidR="00A31D89">
        <w:rPr>
          <w:spacing w:val="-1"/>
        </w:rPr>
        <w:t xml:space="preserve"> </w:t>
      </w:r>
      <w:r w:rsidR="00A31D89">
        <w:t>wordt</w:t>
      </w:r>
      <w:r w:rsidR="00A31D89">
        <w:rPr>
          <w:spacing w:val="-3"/>
        </w:rPr>
        <w:t xml:space="preserve"> </w:t>
      </w:r>
      <w:r w:rsidR="00A31D89">
        <w:t>voldaan. Er</w:t>
      </w:r>
      <w:r w:rsidR="00A31D89">
        <w:rPr>
          <w:spacing w:val="-1"/>
        </w:rPr>
        <w:t xml:space="preserve"> </w:t>
      </w:r>
      <w:r w:rsidR="00A31D89">
        <w:t>dient</w:t>
      </w:r>
      <w:r w:rsidR="00A31D89">
        <w:rPr>
          <w:spacing w:val="-2"/>
        </w:rPr>
        <w:t xml:space="preserve"> </w:t>
      </w:r>
      <w:r w:rsidR="00A31D89">
        <w:t>aan alle</w:t>
      </w:r>
      <w:r w:rsidR="00A31D89">
        <w:rPr>
          <w:spacing w:val="-6"/>
        </w:rPr>
        <w:t xml:space="preserve"> </w:t>
      </w:r>
      <w:r w:rsidR="00A31D89">
        <w:t>drie</w:t>
      </w:r>
      <w:r w:rsidR="00A31D89">
        <w:rPr>
          <w:spacing w:val="-4"/>
        </w:rPr>
        <w:t xml:space="preserve"> </w:t>
      </w:r>
      <w:r w:rsidR="00A31D89">
        <w:t>de</w:t>
      </w:r>
      <w:r w:rsidR="00A31D89">
        <w:rPr>
          <w:spacing w:val="-7"/>
        </w:rPr>
        <w:t xml:space="preserve"> </w:t>
      </w:r>
      <w:r w:rsidR="00A31D89">
        <w:t>volgende</w:t>
      </w:r>
      <w:r w:rsidR="00A31D89">
        <w:rPr>
          <w:spacing w:val="-3"/>
        </w:rPr>
        <w:t xml:space="preserve"> </w:t>
      </w:r>
      <w:r w:rsidR="00A31D89">
        <w:t>groepen</w:t>
      </w:r>
      <w:r w:rsidR="00A31D89">
        <w:rPr>
          <w:spacing w:val="-4"/>
        </w:rPr>
        <w:t xml:space="preserve"> </w:t>
      </w:r>
      <w:r w:rsidR="00A31D89">
        <w:t>voorwaarden</w:t>
      </w:r>
      <w:r w:rsidR="00A31D89">
        <w:rPr>
          <w:spacing w:val="-6"/>
        </w:rPr>
        <w:t xml:space="preserve"> </w:t>
      </w:r>
      <w:r w:rsidR="00A31D89">
        <w:t>te</w:t>
      </w:r>
      <w:r w:rsidR="00A31D89">
        <w:rPr>
          <w:spacing w:val="-6"/>
        </w:rPr>
        <w:t xml:space="preserve"> </w:t>
      </w:r>
      <w:r w:rsidR="00A31D89">
        <w:t>worden</w:t>
      </w:r>
      <w:r w:rsidR="00A31D89">
        <w:rPr>
          <w:spacing w:val="-6"/>
        </w:rPr>
        <w:t xml:space="preserve"> </w:t>
      </w:r>
      <w:r w:rsidR="00A31D89">
        <w:t>voldaan</w:t>
      </w:r>
      <w:r w:rsidR="00A31D89">
        <w:rPr>
          <w:spacing w:val="-5"/>
        </w:rPr>
        <w:t xml:space="preserve"> </w:t>
      </w:r>
      <w:r w:rsidR="00A31D89">
        <w:t>(tenminste</w:t>
      </w:r>
      <w:r w:rsidR="00A31D89">
        <w:rPr>
          <w:spacing w:val="-2"/>
        </w:rPr>
        <w:t xml:space="preserve"> </w:t>
      </w:r>
      <w:r w:rsidR="00A31D89">
        <w:t>één</w:t>
      </w:r>
      <w:r w:rsidR="00A31D89">
        <w:rPr>
          <w:spacing w:val="-5"/>
        </w:rPr>
        <w:t xml:space="preserve"> </w:t>
      </w:r>
      <w:r w:rsidR="00A31D89">
        <w:t>criterium</w:t>
      </w:r>
      <w:r w:rsidR="00A31D89">
        <w:rPr>
          <w:spacing w:val="-4"/>
        </w:rPr>
        <w:t xml:space="preserve"> </w:t>
      </w:r>
      <w:r w:rsidR="00A31D89">
        <w:t>per</w:t>
      </w:r>
      <w:r w:rsidR="00A31D89">
        <w:rPr>
          <w:spacing w:val="-4"/>
        </w:rPr>
        <w:t xml:space="preserve"> </w:t>
      </w:r>
      <w:r w:rsidR="00A31D89">
        <w:rPr>
          <w:spacing w:val="-2"/>
        </w:rPr>
        <w:t>groep):</w:t>
      </w:r>
    </w:p>
    <w:p w14:paraId="0FA3112E" w14:textId="77777777" w:rsidR="00861D40" w:rsidRDefault="00861D40">
      <w:pPr>
        <w:pStyle w:val="BodyText"/>
        <w:spacing w:before="39"/>
        <w:ind w:left="0"/>
      </w:pPr>
    </w:p>
    <w:p w14:paraId="7DD6D78A" w14:textId="77777777" w:rsidR="00861D40" w:rsidRDefault="00A31D89">
      <w:pPr>
        <w:ind w:left="141"/>
        <w:rPr>
          <w:i/>
        </w:rPr>
      </w:pPr>
      <w:r>
        <w:rPr>
          <w:i/>
        </w:rPr>
        <w:t>I:</w:t>
      </w:r>
      <w:r>
        <w:rPr>
          <w:i/>
          <w:spacing w:val="-7"/>
        </w:rPr>
        <w:t xml:space="preserve"> </w:t>
      </w:r>
      <w:r>
        <w:rPr>
          <w:i/>
        </w:rPr>
        <w:t>Aanwezigheid</w:t>
      </w:r>
      <w:r>
        <w:rPr>
          <w:i/>
          <w:spacing w:val="-7"/>
        </w:rPr>
        <w:t xml:space="preserve"> </w:t>
      </w:r>
      <w:r>
        <w:rPr>
          <w:i/>
        </w:rPr>
        <w:t>van</w:t>
      </w:r>
      <w:r>
        <w:rPr>
          <w:i/>
          <w:spacing w:val="-8"/>
        </w:rPr>
        <w:t xml:space="preserve"> </w:t>
      </w:r>
      <w:r>
        <w:rPr>
          <w:i/>
        </w:rPr>
        <w:t>X-gebonden</w:t>
      </w:r>
      <w:r>
        <w:rPr>
          <w:i/>
          <w:spacing w:val="-7"/>
        </w:rPr>
        <w:t xml:space="preserve"> </w:t>
      </w:r>
      <w:proofErr w:type="spellStart"/>
      <w:r>
        <w:rPr>
          <w:i/>
        </w:rPr>
        <w:t>hypofosfatemie</w:t>
      </w:r>
      <w:proofErr w:type="spellEnd"/>
      <w:r>
        <w:rPr>
          <w:i/>
          <w:spacing w:val="-8"/>
        </w:rPr>
        <w:t xml:space="preserve"> </w:t>
      </w:r>
      <w:r>
        <w:rPr>
          <w:i/>
          <w:spacing w:val="-4"/>
        </w:rPr>
        <w:t>(XLH)</w:t>
      </w:r>
    </w:p>
    <w:p w14:paraId="3617D46D" w14:textId="77777777" w:rsidR="00861D40" w:rsidRDefault="00A31D89">
      <w:pPr>
        <w:pStyle w:val="BodyText"/>
        <w:spacing w:before="41"/>
      </w:pPr>
      <w:r>
        <w:t>Er</w:t>
      </w:r>
      <w:r>
        <w:rPr>
          <w:spacing w:val="-5"/>
        </w:rPr>
        <w:t xml:space="preserve"> </w:t>
      </w:r>
      <w:r>
        <w:t>dient</w:t>
      </w:r>
      <w:r>
        <w:rPr>
          <w:spacing w:val="-2"/>
        </w:rPr>
        <w:t xml:space="preserve"> </w:t>
      </w:r>
      <w:r>
        <w:t>aan</w:t>
      </w:r>
      <w:r>
        <w:rPr>
          <w:spacing w:val="-6"/>
        </w:rPr>
        <w:t xml:space="preserve"> </w:t>
      </w:r>
      <w:r>
        <w:t>tenminste</w:t>
      </w:r>
      <w:r>
        <w:rPr>
          <w:spacing w:val="-4"/>
        </w:rPr>
        <w:t xml:space="preserve"> </w:t>
      </w:r>
      <w:r>
        <w:t>één</w:t>
      </w:r>
      <w:r>
        <w:rPr>
          <w:spacing w:val="-5"/>
        </w:rPr>
        <w:t xml:space="preserve"> </w:t>
      </w:r>
      <w:r>
        <w:t>van</w:t>
      </w:r>
      <w:r>
        <w:rPr>
          <w:spacing w:val="-5"/>
        </w:rPr>
        <w:t xml:space="preserve"> </w:t>
      </w:r>
      <w:r>
        <w:t>onderstaande</w:t>
      </w:r>
      <w:r>
        <w:rPr>
          <w:spacing w:val="-4"/>
        </w:rPr>
        <w:t xml:space="preserve"> </w:t>
      </w:r>
      <w:r>
        <w:t>twee</w:t>
      </w:r>
      <w:r>
        <w:rPr>
          <w:spacing w:val="-4"/>
        </w:rPr>
        <w:t xml:space="preserve"> </w:t>
      </w:r>
      <w:r>
        <w:t>criteria</w:t>
      </w:r>
      <w:r>
        <w:rPr>
          <w:spacing w:val="-3"/>
        </w:rPr>
        <w:t xml:space="preserve"> </w:t>
      </w:r>
      <w:r>
        <w:t>te</w:t>
      </w:r>
      <w:r>
        <w:rPr>
          <w:spacing w:val="-2"/>
        </w:rPr>
        <w:t xml:space="preserve"> </w:t>
      </w:r>
      <w:r>
        <w:t>worden</w:t>
      </w:r>
      <w:r>
        <w:rPr>
          <w:spacing w:val="-4"/>
        </w:rPr>
        <w:t xml:space="preserve"> </w:t>
      </w:r>
      <w:r>
        <w:rPr>
          <w:spacing w:val="-2"/>
        </w:rPr>
        <w:t>voldaan:</w:t>
      </w:r>
    </w:p>
    <w:p w14:paraId="4B3D26D9" w14:textId="77777777" w:rsidR="00861D40" w:rsidRDefault="00A31D89">
      <w:pPr>
        <w:pStyle w:val="ListParagraph"/>
        <w:numPr>
          <w:ilvl w:val="1"/>
          <w:numId w:val="3"/>
        </w:numPr>
        <w:tabs>
          <w:tab w:val="left" w:pos="662"/>
        </w:tabs>
        <w:spacing w:before="42"/>
      </w:pPr>
      <w:r>
        <w:t>PHEX</w:t>
      </w:r>
      <w:r>
        <w:rPr>
          <w:spacing w:val="-5"/>
        </w:rPr>
        <w:t xml:space="preserve"> </w:t>
      </w:r>
      <w:r>
        <w:t>mutatie</w:t>
      </w:r>
      <w:r>
        <w:rPr>
          <w:spacing w:val="-3"/>
        </w:rPr>
        <w:t xml:space="preserve"> </w:t>
      </w:r>
      <w:r>
        <w:t>bij</w:t>
      </w:r>
      <w:r>
        <w:rPr>
          <w:spacing w:val="-4"/>
        </w:rPr>
        <w:t xml:space="preserve"> </w:t>
      </w:r>
      <w:r>
        <w:t>index</w:t>
      </w:r>
      <w:r>
        <w:rPr>
          <w:spacing w:val="-2"/>
        </w:rPr>
        <w:t xml:space="preserve"> </w:t>
      </w:r>
      <w:r>
        <w:t>patiënt</w:t>
      </w:r>
      <w:r>
        <w:rPr>
          <w:spacing w:val="-5"/>
        </w:rPr>
        <w:t xml:space="preserve"> </w:t>
      </w:r>
      <w:r>
        <w:t>of</w:t>
      </w:r>
      <w:r>
        <w:rPr>
          <w:spacing w:val="-4"/>
        </w:rPr>
        <w:t xml:space="preserve"> </w:t>
      </w:r>
      <w:r>
        <w:t>eerste-</w:t>
      </w:r>
      <w:r>
        <w:rPr>
          <w:spacing w:val="-4"/>
        </w:rPr>
        <w:t xml:space="preserve"> </w:t>
      </w:r>
      <w:r>
        <w:t>of</w:t>
      </w:r>
      <w:r>
        <w:rPr>
          <w:spacing w:val="-5"/>
        </w:rPr>
        <w:t xml:space="preserve"> </w:t>
      </w:r>
      <w:r>
        <w:t>tweedegraads</w:t>
      </w:r>
      <w:r>
        <w:rPr>
          <w:spacing w:val="-3"/>
        </w:rPr>
        <w:t xml:space="preserve"> </w:t>
      </w:r>
      <w:r>
        <w:t>familielid,</w:t>
      </w:r>
      <w:r>
        <w:rPr>
          <w:spacing w:val="-5"/>
        </w:rPr>
        <w:t xml:space="preserve"> óf</w:t>
      </w:r>
    </w:p>
    <w:p w14:paraId="04083717" w14:textId="77777777" w:rsidR="00861D40" w:rsidRDefault="00A31D89">
      <w:pPr>
        <w:pStyle w:val="ListParagraph"/>
        <w:numPr>
          <w:ilvl w:val="1"/>
          <w:numId w:val="3"/>
        </w:numPr>
        <w:tabs>
          <w:tab w:val="left" w:pos="664"/>
        </w:tabs>
        <w:spacing w:before="39" w:line="276" w:lineRule="auto"/>
        <w:ind w:left="141" w:right="569" w:firstLine="0"/>
      </w:pPr>
      <w:r>
        <w:t>Een</w:t>
      </w:r>
      <w:r>
        <w:rPr>
          <w:spacing w:val="-4"/>
        </w:rPr>
        <w:t xml:space="preserve"> </w:t>
      </w:r>
      <w:r>
        <w:t>familiair</w:t>
      </w:r>
      <w:r>
        <w:rPr>
          <w:spacing w:val="-4"/>
        </w:rPr>
        <w:t xml:space="preserve"> </w:t>
      </w:r>
      <w:r>
        <w:t>voorkomende</w:t>
      </w:r>
      <w:r>
        <w:rPr>
          <w:spacing w:val="-4"/>
        </w:rPr>
        <w:t xml:space="preserve"> </w:t>
      </w:r>
      <w:r>
        <w:t>vorm</w:t>
      </w:r>
      <w:r>
        <w:rPr>
          <w:spacing w:val="-3"/>
        </w:rPr>
        <w:t xml:space="preserve"> </w:t>
      </w:r>
      <w:r>
        <w:t>van</w:t>
      </w:r>
      <w:r>
        <w:rPr>
          <w:spacing w:val="-5"/>
        </w:rPr>
        <w:t xml:space="preserve"> </w:t>
      </w:r>
      <w:proofErr w:type="spellStart"/>
      <w:r>
        <w:t>hypofosfatemische</w:t>
      </w:r>
      <w:proofErr w:type="spellEnd"/>
      <w:r>
        <w:rPr>
          <w:spacing w:val="-3"/>
        </w:rPr>
        <w:t xml:space="preserve"> </w:t>
      </w:r>
      <w:r>
        <w:t>rachitis</w:t>
      </w:r>
      <w:r>
        <w:rPr>
          <w:spacing w:val="-6"/>
        </w:rPr>
        <w:t xml:space="preserve"> </w:t>
      </w:r>
      <w:r>
        <w:t>met</w:t>
      </w:r>
      <w:r>
        <w:rPr>
          <w:spacing w:val="-3"/>
        </w:rPr>
        <w:t xml:space="preserve"> </w:t>
      </w:r>
      <w:r>
        <w:t>een</w:t>
      </w:r>
      <w:r>
        <w:rPr>
          <w:spacing w:val="-6"/>
        </w:rPr>
        <w:t xml:space="preserve"> </w:t>
      </w:r>
      <w:r>
        <w:t xml:space="preserve">X-chromosomaal </w:t>
      </w:r>
      <w:r>
        <w:rPr>
          <w:spacing w:val="-2"/>
        </w:rPr>
        <w:t>overervingspatroon</w:t>
      </w:r>
    </w:p>
    <w:p w14:paraId="4A36222E" w14:textId="77777777" w:rsidR="00861D40" w:rsidRDefault="00861D40">
      <w:pPr>
        <w:pStyle w:val="BodyText"/>
        <w:spacing w:before="39"/>
        <w:ind w:left="0"/>
      </w:pPr>
    </w:p>
    <w:p w14:paraId="19CA1ABA" w14:textId="77777777" w:rsidR="00861D40" w:rsidRDefault="00A31D89">
      <w:pPr>
        <w:pStyle w:val="ListParagraph"/>
        <w:numPr>
          <w:ilvl w:val="0"/>
          <w:numId w:val="2"/>
        </w:numPr>
        <w:tabs>
          <w:tab w:val="left" w:pos="355"/>
        </w:tabs>
        <w:spacing w:before="1"/>
        <w:ind w:left="355" w:hanging="214"/>
        <w:rPr>
          <w:i/>
        </w:rPr>
      </w:pPr>
      <w:r>
        <w:rPr>
          <w:i/>
          <w:spacing w:val="-2"/>
        </w:rPr>
        <w:t>Symptomen</w:t>
      </w:r>
    </w:p>
    <w:p w14:paraId="79700724" w14:textId="0F89DAA1" w:rsidR="00861D40" w:rsidRDefault="00A31D89">
      <w:pPr>
        <w:pStyle w:val="BodyText"/>
        <w:spacing w:before="41" w:line="276" w:lineRule="auto"/>
        <w:ind w:right="172"/>
      </w:pPr>
      <w:r>
        <w:t>Er</w:t>
      </w:r>
      <w:r>
        <w:rPr>
          <w:spacing w:val="-3"/>
        </w:rPr>
        <w:t xml:space="preserve"> </w:t>
      </w:r>
      <w:r>
        <w:t>dient,</w:t>
      </w:r>
      <w:r>
        <w:rPr>
          <w:spacing w:val="-5"/>
        </w:rPr>
        <w:t xml:space="preserve"> </w:t>
      </w:r>
      <w:r>
        <w:t>onder</w:t>
      </w:r>
      <w:r>
        <w:rPr>
          <w:spacing w:val="-3"/>
        </w:rPr>
        <w:t xml:space="preserve"> </w:t>
      </w:r>
      <w:r>
        <w:t>behandeling</w:t>
      </w:r>
      <w:r>
        <w:rPr>
          <w:spacing w:val="-2"/>
        </w:rPr>
        <w:t xml:space="preserve"> </w:t>
      </w:r>
      <w:r>
        <w:t>met</w:t>
      </w:r>
      <w:r>
        <w:rPr>
          <w:spacing w:val="-2"/>
        </w:rPr>
        <w:t xml:space="preserve"> </w:t>
      </w:r>
      <w:r w:rsidR="005024B5">
        <w:rPr>
          <w:spacing w:val="-2"/>
        </w:rPr>
        <w:t xml:space="preserve">maximaal verdraagbare </w:t>
      </w:r>
      <w:r>
        <w:t>conventionele</w:t>
      </w:r>
      <w:r>
        <w:rPr>
          <w:spacing w:val="-2"/>
        </w:rPr>
        <w:t xml:space="preserve"> </w:t>
      </w:r>
      <w:r>
        <w:t>therapie</w:t>
      </w:r>
      <w:r w:rsidR="005024B5">
        <w:t xml:space="preserve"> en adequate pijnstilling </w:t>
      </w:r>
      <w:r w:rsidR="00D20A04">
        <w:t>(</w:t>
      </w:r>
      <w:r w:rsidR="005024B5">
        <w:t>volgens de WHO pijnladder</w:t>
      </w:r>
      <w:r w:rsidR="00D20A04">
        <w:t>)</w:t>
      </w:r>
      <w:r>
        <w:t>,</w:t>
      </w:r>
      <w:r>
        <w:rPr>
          <w:spacing w:val="-3"/>
        </w:rPr>
        <w:t xml:space="preserve"> </w:t>
      </w:r>
      <w:r>
        <w:t>aan</w:t>
      </w:r>
      <w:r>
        <w:rPr>
          <w:spacing w:val="-3"/>
        </w:rPr>
        <w:t xml:space="preserve"> </w:t>
      </w:r>
      <w:r>
        <w:t>tenminste</w:t>
      </w:r>
      <w:r>
        <w:rPr>
          <w:spacing w:val="-2"/>
        </w:rPr>
        <w:t xml:space="preserve"> </w:t>
      </w:r>
      <w:r>
        <w:t>één</w:t>
      </w:r>
      <w:r>
        <w:rPr>
          <w:spacing w:val="-5"/>
        </w:rPr>
        <w:t xml:space="preserve"> </w:t>
      </w:r>
      <w:r>
        <w:t>van</w:t>
      </w:r>
      <w:r>
        <w:rPr>
          <w:spacing w:val="-4"/>
        </w:rPr>
        <w:t xml:space="preserve"> </w:t>
      </w:r>
      <w:r>
        <w:t>onderstaande criteria te worden voldaan:</w:t>
      </w:r>
    </w:p>
    <w:p w14:paraId="7229F462" w14:textId="66E6261C" w:rsidR="00861D40" w:rsidRDefault="00A31D89">
      <w:pPr>
        <w:pStyle w:val="ListParagraph"/>
        <w:numPr>
          <w:ilvl w:val="1"/>
          <w:numId w:val="2"/>
        </w:numPr>
        <w:tabs>
          <w:tab w:val="left" w:pos="719"/>
        </w:tabs>
        <w:spacing w:before="34" w:line="276" w:lineRule="auto"/>
        <w:ind w:right="154" w:firstLine="0"/>
      </w:pPr>
      <w:r>
        <w:t xml:space="preserve">Een afwijkende pijnscore (Brief </w:t>
      </w:r>
      <w:proofErr w:type="spellStart"/>
      <w:r>
        <w:t>Pain</w:t>
      </w:r>
      <w:proofErr w:type="spellEnd"/>
      <w:r>
        <w:t xml:space="preserve"> Inventory question 3; BPI-Q3, Worst </w:t>
      </w:r>
      <w:proofErr w:type="spellStart"/>
      <w:r>
        <w:t>Pain</w:t>
      </w:r>
      <w:proofErr w:type="spellEnd"/>
      <w:r>
        <w:t xml:space="preserve"> van 4 of hoger ondanks</w:t>
      </w:r>
      <w:r>
        <w:rPr>
          <w:spacing w:val="-4"/>
        </w:rPr>
        <w:t xml:space="preserve"> </w:t>
      </w:r>
      <w:r>
        <w:t>voor</w:t>
      </w:r>
      <w:r>
        <w:rPr>
          <w:spacing w:val="-2"/>
        </w:rPr>
        <w:t xml:space="preserve"> </w:t>
      </w:r>
      <w:r>
        <w:t>patiënt</w:t>
      </w:r>
      <w:r>
        <w:rPr>
          <w:spacing w:val="-4"/>
        </w:rPr>
        <w:t xml:space="preserve"> </w:t>
      </w:r>
      <w:r>
        <w:t>maximaal</w:t>
      </w:r>
      <w:r>
        <w:rPr>
          <w:spacing w:val="-2"/>
        </w:rPr>
        <w:t xml:space="preserve"> </w:t>
      </w:r>
      <w:r>
        <w:t>tolereerbare</w:t>
      </w:r>
      <w:r>
        <w:rPr>
          <w:spacing w:val="-1"/>
        </w:rPr>
        <w:t xml:space="preserve"> </w:t>
      </w:r>
      <w:r>
        <w:t>pijnstilling)</w:t>
      </w:r>
      <w:r>
        <w:rPr>
          <w:spacing w:val="-1"/>
        </w:rPr>
        <w:t xml:space="preserve"> </w:t>
      </w:r>
      <w:r>
        <w:t>of</w:t>
      </w:r>
      <w:r>
        <w:rPr>
          <w:spacing w:val="-4"/>
        </w:rPr>
        <w:t xml:space="preserve"> </w:t>
      </w:r>
      <w:r>
        <w:t>een</w:t>
      </w:r>
      <w:r>
        <w:rPr>
          <w:spacing w:val="-2"/>
        </w:rPr>
        <w:t xml:space="preserve"> </w:t>
      </w:r>
      <w:r>
        <w:t>afwijkende</w:t>
      </w:r>
      <w:r>
        <w:rPr>
          <w:spacing w:val="-4"/>
        </w:rPr>
        <w:t xml:space="preserve"> </w:t>
      </w:r>
      <w:r>
        <w:t>WOMAC</w:t>
      </w:r>
      <w:r>
        <w:rPr>
          <w:spacing w:val="-2"/>
        </w:rPr>
        <w:t xml:space="preserve"> </w:t>
      </w:r>
      <w:proofErr w:type="spellStart"/>
      <w:r>
        <w:t>stiffness</w:t>
      </w:r>
      <w:proofErr w:type="spellEnd"/>
      <w:r>
        <w:rPr>
          <w:spacing w:val="-1"/>
        </w:rPr>
        <w:t xml:space="preserve"> </w:t>
      </w:r>
      <w:r>
        <w:t>(&gt;50)</w:t>
      </w:r>
      <w:r>
        <w:rPr>
          <w:spacing w:val="-4"/>
        </w:rPr>
        <w:t xml:space="preserve"> </w:t>
      </w:r>
      <w:r>
        <w:t xml:space="preserve">of WOMAC </w:t>
      </w:r>
      <w:proofErr w:type="spellStart"/>
      <w:r>
        <w:t>physical</w:t>
      </w:r>
      <w:proofErr w:type="spellEnd"/>
      <w:r>
        <w:t xml:space="preserve"> </w:t>
      </w:r>
      <w:proofErr w:type="spellStart"/>
      <w:r>
        <w:t>function</w:t>
      </w:r>
      <w:proofErr w:type="spellEnd"/>
      <w:r>
        <w:t xml:space="preserve"> </w:t>
      </w:r>
      <w:proofErr w:type="spellStart"/>
      <w:r>
        <w:t>impairment</w:t>
      </w:r>
      <w:proofErr w:type="spellEnd"/>
      <w:r>
        <w:t xml:space="preserve"> (&gt;40) score die</w:t>
      </w:r>
      <w:r>
        <w:rPr>
          <w:spacing w:val="-1"/>
        </w:rPr>
        <w:t xml:space="preserve"> </w:t>
      </w:r>
      <w:r>
        <w:t xml:space="preserve">kan worden toegeschreven aan het gestoorde fosfaatmetabolisme (dus bijvoorbeeld niet </w:t>
      </w:r>
      <w:r w:rsidR="008C6291">
        <w:t xml:space="preserve">door gevorderde </w:t>
      </w:r>
      <w:r>
        <w:t>artrose)</w:t>
      </w:r>
      <w:r>
        <w:rPr>
          <w:spacing w:val="-4"/>
        </w:rPr>
        <w:t xml:space="preserve"> </w:t>
      </w:r>
      <w:r>
        <w:rPr>
          <w:rFonts w:ascii="Times New Roman" w:hAnsi="Times New Roman"/>
          <w:vertAlign w:val="superscript"/>
        </w:rPr>
        <w:t>3,5</w:t>
      </w:r>
      <w:r>
        <w:t>, óf</w:t>
      </w:r>
    </w:p>
    <w:p w14:paraId="4E913A41" w14:textId="77777777" w:rsidR="00861D40" w:rsidRDefault="00A31D89">
      <w:pPr>
        <w:pStyle w:val="ListParagraph"/>
        <w:numPr>
          <w:ilvl w:val="1"/>
          <w:numId w:val="2"/>
        </w:numPr>
        <w:tabs>
          <w:tab w:val="left" w:pos="719"/>
        </w:tabs>
        <w:spacing w:before="1" w:line="276" w:lineRule="auto"/>
        <w:ind w:right="1363" w:firstLine="0"/>
      </w:pPr>
      <w:r>
        <w:t>De</w:t>
      </w:r>
      <w:r>
        <w:rPr>
          <w:spacing w:val="-5"/>
        </w:rPr>
        <w:t xml:space="preserve"> </w:t>
      </w:r>
      <w:r>
        <w:t>aanwezigheid</w:t>
      </w:r>
      <w:r>
        <w:rPr>
          <w:spacing w:val="-5"/>
        </w:rPr>
        <w:t xml:space="preserve"> </w:t>
      </w:r>
      <w:r>
        <w:t>van</w:t>
      </w:r>
      <w:r>
        <w:rPr>
          <w:spacing w:val="-5"/>
        </w:rPr>
        <w:t xml:space="preserve"> </w:t>
      </w:r>
      <w:r>
        <w:t>een</w:t>
      </w:r>
      <w:r>
        <w:rPr>
          <w:spacing w:val="-8"/>
        </w:rPr>
        <w:t xml:space="preserve"> </w:t>
      </w:r>
      <w:r>
        <w:t>osteomalacie-gerelateerde</w:t>
      </w:r>
      <w:r>
        <w:rPr>
          <w:spacing w:val="-3"/>
        </w:rPr>
        <w:t xml:space="preserve"> </w:t>
      </w:r>
      <w:r>
        <w:t>fractuur</w:t>
      </w:r>
      <w:r>
        <w:rPr>
          <w:spacing w:val="-7"/>
        </w:rPr>
        <w:t xml:space="preserve"> </w:t>
      </w:r>
      <w:r>
        <w:t>of</w:t>
      </w:r>
      <w:r>
        <w:rPr>
          <w:spacing w:val="-5"/>
        </w:rPr>
        <w:t xml:space="preserve"> </w:t>
      </w:r>
      <w:r>
        <w:t xml:space="preserve">symptomatische pseudofractuur onder conventionele therapie </w:t>
      </w:r>
      <w:r>
        <w:rPr>
          <w:rFonts w:ascii="Times New Roman" w:hAnsi="Times New Roman"/>
          <w:vertAlign w:val="superscript"/>
        </w:rPr>
        <w:t>3,5</w:t>
      </w:r>
      <w:r>
        <w:t>, óf</w:t>
      </w:r>
    </w:p>
    <w:p w14:paraId="3474A3C2" w14:textId="77777777" w:rsidR="00861D40" w:rsidRDefault="00A31D89">
      <w:pPr>
        <w:pStyle w:val="ListParagraph"/>
        <w:numPr>
          <w:ilvl w:val="1"/>
          <w:numId w:val="2"/>
        </w:numPr>
        <w:tabs>
          <w:tab w:val="left" w:pos="719"/>
        </w:tabs>
        <w:spacing w:before="2" w:line="273" w:lineRule="auto"/>
        <w:ind w:right="353" w:firstLine="0"/>
      </w:pPr>
      <w:r>
        <w:t>Patiënten</w:t>
      </w:r>
      <w:r>
        <w:rPr>
          <w:spacing w:val="-5"/>
        </w:rPr>
        <w:t xml:space="preserve"> </w:t>
      </w:r>
      <w:r>
        <w:t>met</w:t>
      </w:r>
      <w:r>
        <w:rPr>
          <w:spacing w:val="-4"/>
        </w:rPr>
        <w:t xml:space="preserve"> </w:t>
      </w:r>
      <w:r>
        <w:t>complicaties</w:t>
      </w:r>
      <w:r>
        <w:rPr>
          <w:spacing w:val="-4"/>
        </w:rPr>
        <w:t xml:space="preserve"> </w:t>
      </w:r>
      <w:r>
        <w:t>van</w:t>
      </w:r>
      <w:r>
        <w:rPr>
          <w:spacing w:val="-4"/>
        </w:rPr>
        <w:t xml:space="preserve"> </w:t>
      </w:r>
      <w:r>
        <w:t>conventionele</w:t>
      </w:r>
      <w:r>
        <w:rPr>
          <w:spacing w:val="-5"/>
        </w:rPr>
        <w:t xml:space="preserve"> </w:t>
      </w:r>
      <w:r>
        <w:t>therapie,</w:t>
      </w:r>
      <w:r>
        <w:rPr>
          <w:spacing w:val="-2"/>
        </w:rPr>
        <w:t xml:space="preserve"> </w:t>
      </w:r>
      <w:r>
        <w:t>zoals</w:t>
      </w:r>
      <w:r>
        <w:rPr>
          <w:spacing w:val="-3"/>
        </w:rPr>
        <w:t xml:space="preserve"> </w:t>
      </w:r>
      <w:r>
        <w:t>progressieve</w:t>
      </w:r>
      <w:r>
        <w:rPr>
          <w:spacing w:val="-4"/>
        </w:rPr>
        <w:t xml:space="preserve"> </w:t>
      </w:r>
      <w:proofErr w:type="spellStart"/>
      <w:r>
        <w:t>nefrocalcinose</w:t>
      </w:r>
      <w:proofErr w:type="spellEnd"/>
      <w:r>
        <w:rPr>
          <w:spacing w:val="-4"/>
        </w:rPr>
        <w:t xml:space="preserve"> </w:t>
      </w:r>
      <w:r>
        <w:t>of nierstenen, óf</w:t>
      </w:r>
    </w:p>
    <w:p w14:paraId="79BB22A3" w14:textId="633F0680" w:rsidR="00861D40" w:rsidRDefault="00A31D89">
      <w:pPr>
        <w:pStyle w:val="ListParagraph"/>
        <w:numPr>
          <w:ilvl w:val="1"/>
          <w:numId w:val="2"/>
        </w:numPr>
        <w:tabs>
          <w:tab w:val="left" w:pos="719"/>
        </w:tabs>
        <w:spacing w:before="4" w:line="276" w:lineRule="auto"/>
        <w:ind w:right="144" w:firstLine="0"/>
      </w:pPr>
      <w:r>
        <w:t xml:space="preserve">Voorafgaand aan geplande orthopedische chirurgie met inbrengen van chirurgisch materiaal zoals een gewrichtsprothese kan bij patiënten met tekenen van osteomalacie onder conventionele therapie behandeling met </w:t>
      </w:r>
      <w:proofErr w:type="spellStart"/>
      <w:r>
        <w:t>burosumab</w:t>
      </w:r>
      <w:proofErr w:type="spellEnd"/>
      <w:r>
        <w:t xml:space="preserve"> worden overwogen. Ook bij een gestoorde botgenezing na orthopedische chirurgie onder conventionele therapie kan bij een patiënt die voldoet aan criterium I.1 of I.2, ondanks</w:t>
      </w:r>
      <w:r>
        <w:rPr>
          <w:spacing w:val="-6"/>
        </w:rPr>
        <w:t xml:space="preserve"> </w:t>
      </w:r>
      <w:r>
        <w:t>ontbreken</w:t>
      </w:r>
      <w:r>
        <w:rPr>
          <w:spacing w:val="-4"/>
        </w:rPr>
        <w:t xml:space="preserve"> </w:t>
      </w:r>
      <w:r>
        <w:t>van</w:t>
      </w:r>
      <w:r>
        <w:rPr>
          <w:spacing w:val="-5"/>
        </w:rPr>
        <w:t xml:space="preserve"> </w:t>
      </w:r>
      <w:r>
        <w:t>evidente</w:t>
      </w:r>
      <w:r>
        <w:rPr>
          <w:spacing w:val="-5"/>
        </w:rPr>
        <w:t xml:space="preserve"> </w:t>
      </w:r>
      <w:r>
        <w:t>osteomalacie,</w:t>
      </w:r>
      <w:r>
        <w:rPr>
          <w:spacing w:val="-4"/>
        </w:rPr>
        <w:t xml:space="preserve"> </w:t>
      </w:r>
      <w:r>
        <w:t>behandeling</w:t>
      </w:r>
      <w:r>
        <w:rPr>
          <w:spacing w:val="-3"/>
        </w:rPr>
        <w:t xml:space="preserve"> </w:t>
      </w:r>
      <w:r>
        <w:t>met</w:t>
      </w:r>
      <w:r>
        <w:rPr>
          <w:spacing w:val="-3"/>
        </w:rPr>
        <w:t xml:space="preserve"> </w:t>
      </w:r>
      <w:proofErr w:type="spellStart"/>
      <w:r>
        <w:t>burosumab</w:t>
      </w:r>
      <w:proofErr w:type="spellEnd"/>
      <w:r>
        <w:t xml:space="preserve"> </w:t>
      </w:r>
      <w:r>
        <w:rPr>
          <w:spacing w:val="-2"/>
        </w:rPr>
        <w:t>plaatsvinden.</w:t>
      </w:r>
    </w:p>
    <w:p w14:paraId="1B2CCD44" w14:textId="77777777" w:rsidR="00861D40" w:rsidRDefault="00861D40">
      <w:pPr>
        <w:pStyle w:val="BodyText"/>
        <w:spacing w:before="40"/>
        <w:ind w:left="0"/>
      </w:pPr>
    </w:p>
    <w:p w14:paraId="20CB5B88" w14:textId="77777777" w:rsidR="00861D40" w:rsidRDefault="00A31D89">
      <w:pPr>
        <w:pStyle w:val="ListParagraph"/>
        <w:numPr>
          <w:ilvl w:val="0"/>
          <w:numId w:val="2"/>
        </w:numPr>
        <w:tabs>
          <w:tab w:val="left" w:pos="410"/>
        </w:tabs>
        <w:ind w:left="410" w:hanging="269"/>
        <w:rPr>
          <w:i/>
        </w:rPr>
      </w:pPr>
      <w:r>
        <w:rPr>
          <w:i/>
          <w:spacing w:val="-2"/>
        </w:rPr>
        <w:t>Nierfunctie</w:t>
      </w:r>
    </w:p>
    <w:p w14:paraId="3483423B" w14:textId="29915F8F" w:rsidR="00861D40" w:rsidRDefault="00A31D89">
      <w:pPr>
        <w:pStyle w:val="BodyText"/>
        <w:spacing w:before="41" w:line="276" w:lineRule="auto"/>
        <w:ind w:right="159"/>
      </w:pPr>
      <w:r>
        <w:t>Tevens</w:t>
      </w:r>
      <w:r>
        <w:rPr>
          <w:spacing w:val="-2"/>
        </w:rPr>
        <w:t xml:space="preserve"> </w:t>
      </w:r>
      <w:r>
        <w:t>dient</w:t>
      </w:r>
      <w:r>
        <w:rPr>
          <w:spacing w:val="-3"/>
        </w:rPr>
        <w:t xml:space="preserve"> </w:t>
      </w:r>
      <w:r>
        <w:t>de</w:t>
      </w:r>
      <w:r>
        <w:rPr>
          <w:spacing w:val="-1"/>
        </w:rPr>
        <w:t xml:space="preserve"> </w:t>
      </w:r>
      <w:proofErr w:type="spellStart"/>
      <w:r>
        <w:t>eGFR</w:t>
      </w:r>
      <w:proofErr w:type="spellEnd"/>
      <w:r>
        <w:rPr>
          <w:spacing w:val="-2"/>
        </w:rPr>
        <w:t xml:space="preserve"> </w:t>
      </w:r>
      <w:r>
        <w:t>(berekend</w:t>
      </w:r>
      <w:r>
        <w:rPr>
          <w:spacing w:val="-5"/>
        </w:rPr>
        <w:t xml:space="preserve"> </w:t>
      </w:r>
      <w:r>
        <w:t>met</w:t>
      </w:r>
      <w:r>
        <w:rPr>
          <w:spacing w:val="-3"/>
        </w:rPr>
        <w:t xml:space="preserve"> </w:t>
      </w:r>
      <w:r>
        <w:t>de</w:t>
      </w:r>
      <w:r>
        <w:rPr>
          <w:spacing w:val="-1"/>
        </w:rPr>
        <w:t xml:space="preserve"> </w:t>
      </w:r>
      <w:r>
        <w:t>CKD-EPI</w:t>
      </w:r>
      <w:r>
        <w:rPr>
          <w:spacing w:val="-2"/>
        </w:rPr>
        <w:t xml:space="preserve"> </w:t>
      </w:r>
      <w:r>
        <w:t>formule)</w:t>
      </w:r>
      <w:r>
        <w:rPr>
          <w:spacing w:val="-3"/>
        </w:rPr>
        <w:t xml:space="preserve"> </w:t>
      </w:r>
      <w:r>
        <w:t>&gt;60</w:t>
      </w:r>
      <w:r>
        <w:rPr>
          <w:spacing w:val="-3"/>
        </w:rPr>
        <w:t xml:space="preserve"> </w:t>
      </w:r>
      <w:r>
        <w:t>ml/min/1.7</w:t>
      </w:r>
      <w:r w:rsidR="008C6291">
        <w:t>3</w:t>
      </w:r>
      <w:r>
        <w:t>m</w:t>
      </w:r>
      <w:r>
        <w:rPr>
          <w:vertAlign w:val="superscript"/>
        </w:rPr>
        <w:t>2</w:t>
      </w:r>
      <w:r>
        <w:rPr>
          <w:spacing w:val="-3"/>
        </w:rPr>
        <w:t xml:space="preserve"> </w:t>
      </w:r>
      <w:r>
        <w:t>te</w:t>
      </w:r>
      <w:r>
        <w:rPr>
          <w:spacing w:val="-1"/>
        </w:rPr>
        <w:t xml:space="preserve"> </w:t>
      </w:r>
      <w:r>
        <w:t>zijn.</w:t>
      </w:r>
      <w:r>
        <w:rPr>
          <w:spacing w:val="-1"/>
        </w:rPr>
        <w:t xml:space="preserve"> </w:t>
      </w:r>
      <w:r>
        <w:t>Er</w:t>
      </w:r>
      <w:r>
        <w:rPr>
          <w:spacing w:val="-2"/>
        </w:rPr>
        <w:t xml:space="preserve"> </w:t>
      </w:r>
      <w:r>
        <w:t>zijn</w:t>
      </w:r>
      <w:r>
        <w:rPr>
          <w:spacing w:val="-3"/>
        </w:rPr>
        <w:t xml:space="preserve"> </w:t>
      </w:r>
      <w:r>
        <w:t xml:space="preserve">weinig tot geen gegevens uit klinische studies bekend bij patiënten met een </w:t>
      </w:r>
      <w:proofErr w:type="spellStart"/>
      <w:r>
        <w:t>eGFR</w:t>
      </w:r>
      <w:proofErr w:type="spellEnd"/>
      <w:r>
        <w:t xml:space="preserve"> &lt;60 ml/min/1.</w:t>
      </w:r>
      <w:r w:rsidR="00D20A04">
        <w:t>73m</w:t>
      </w:r>
      <w:r w:rsidR="00D20A04">
        <w:rPr>
          <w:vertAlign w:val="superscript"/>
        </w:rPr>
        <w:t>2</w:t>
      </w:r>
      <w:r>
        <w:t>, preklinisch onderzoek suggereert mogelijk schadelijke effecten bij een slechte nierfunctie.</w:t>
      </w:r>
      <w:r>
        <w:rPr>
          <w:vertAlign w:val="superscript"/>
        </w:rPr>
        <w:t>2</w:t>
      </w:r>
    </w:p>
    <w:p w14:paraId="2A909266" w14:textId="77777777" w:rsidR="00861D40" w:rsidRDefault="00861D40">
      <w:pPr>
        <w:pStyle w:val="BodyText"/>
        <w:spacing w:before="41"/>
        <w:ind w:left="0"/>
      </w:pPr>
    </w:p>
    <w:p w14:paraId="32DDA795" w14:textId="01E7C467" w:rsidR="000D0BAC" w:rsidRDefault="000D0BAC" w:rsidP="000D0BAC">
      <w:pPr>
        <w:ind w:left="141"/>
        <w:rPr>
          <w:i/>
        </w:rPr>
      </w:pPr>
      <w:r>
        <w:rPr>
          <w:i/>
          <w:spacing w:val="-2"/>
        </w:rPr>
        <w:t xml:space="preserve">Tumor </w:t>
      </w:r>
      <w:proofErr w:type="spellStart"/>
      <w:r>
        <w:rPr>
          <w:i/>
          <w:spacing w:val="-2"/>
        </w:rPr>
        <w:t>Induced</w:t>
      </w:r>
      <w:proofErr w:type="spellEnd"/>
      <w:r>
        <w:rPr>
          <w:i/>
          <w:spacing w:val="-2"/>
        </w:rPr>
        <w:t xml:space="preserve"> Osteomalacie (TIO):</w:t>
      </w:r>
    </w:p>
    <w:p w14:paraId="3D636678" w14:textId="6C719862" w:rsidR="000D0BAC" w:rsidRDefault="000D0BAC" w:rsidP="000D0BAC">
      <w:pPr>
        <w:pStyle w:val="BodyText"/>
        <w:spacing w:line="278" w:lineRule="auto"/>
      </w:pPr>
      <w:r>
        <w:t>Voor patiënten</w:t>
      </w:r>
      <w:r>
        <w:rPr>
          <w:spacing w:val="-4"/>
        </w:rPr>
        <w:t xml:space="preserve"> </w:t>
      </w:r>
      <w:r>
        <w:t>met</w:t>
      </w:r>
      <w:r>
        <w:rPr>
          <w:spacing w:val="-3"/>
        </w:rPr>
        <w:t xml:space="preserve"> </w:t>
      </w:r>
      <w:r>
        <w:t>een</w:t>
      </w:r>
      <w:r>
        <w:rPr>
          <w:spacing w:val="-5"/>
        </w:rPr>
        <w:t xml:space="preserve"> </w:t>
      </w:r>
      <w:r>
        <w:t>tumor-geïnduceerde</w:t>
      </w:r>
      <w:r>
        <w:rPr>
          <w:spacing w:val="-3"/>
        </w:rPr>
        <w:t xml:space="preserve"> </w:t>
      </w:r>
      <w:r>
        <w:t>osteomalacie</w:t>
      </w:r>
      <w:r>
        <w:rPr>
          <w:spacing w:val="-3"/>
        </w:rPr>
        <w:t xml:space="preserve"> </w:t>
      </w:r>
      <w:r>
        <w:t>(TIO)</w:t>
      </w:r>
      <w:r>
        <w:rPr>
          <w:spacing w:val="-3"/>
        </w:rPr>
        <w:t xml:space="preserve"> </w:t>
      </w:r>
      <w:r>
        <w:t>is een apart document opgesteld (</w:t>
      </w:r>
      <w:r w:rsidRPr="00665DB7">
        <w:t xml:space="preserve">Behandelcriteria voor </w:t>
      </w:r>
      <w:proofErr w:type="spellStart"/>
      <w:r w:rsidRPr="00665DB7">
        <w:t>Burosumab</w:t>
      </w:r>
      <w:proofErr w:type="spellEnd"/>
      <w:r w:rsidRPr="00665DB7">
        <w:t xml:space="preserve"> bij TIO (tumor-</w:t>
      </w:r>
      <w:proofErr w:type="spellStart"/>
      <w:r w:rsidRPr="00665DB7">
        <w:t>induced</w:t>
      </w:r>
      <w:proofErr w:type="spellEnd"/>
      <w:r w:rsidRPr="00665DB7">
        <w:t xml:space="preserve"> osteomalacie)</w:t>
      </w:r>
      <w:r>
        <w:t>).</w:t>
      </w:r>
    </w:p>
    <w:p w14:paraId="49E3587A" w14:textId="7A4F9E35" w:rsidR="000D0BAC" w:rsidRDefault="000D0BAC" w:rsidP="000D0BAC">
      <w:pPr>
        <w:pStyle w:val="BodyText"/>
        <w:spacing w:before="41"/>
        <w:ind w:left="0" w:firstLine="141"/>
      </w:pPr>
      <w:r>
        <w:t xml:space="preserve"> </w:t>
      </w:r>
    </w:p>
    <w:p w14:paraId="074D190B" w14:textId="77777777" w:rsidR="00861D40" w:rsidRDefault="00A31D89">
      <w:pPr>
        <w:ind w:left="141"/>
        <w:rPr>
          <w:i/>
        </w:rPr>
      </w:pPr>
      <w:r>
        <w:rPr>
          <w:i/>
        </w:rPr>
        <w:t>Off-label</w:t>
      </w:r>
      <w:r>
        <w:rPr>
          <w:i/>
          <w:spacing w:val="-10"/>
        </w:rPr>
        <w:t xml:space="preserve"> </w:t>
      </w:r>
      <w:r>
        <w:rPr>
          <w:i/>
          <w:spacing w:val="-2"/>
        </w:rPr>
        <w:t>indicatie:</w:t>
      </w:r>
    </w:p>
    <w:p w14:paraId="33C66123" w14:textId="77777777" w:rsidR="00861D40" w:rsidRDefault="00A31D89">
      <w:pPr>
        <w:pStyle w:val="BodyText"/>
        <w:spacing w:before="39" w:line="276" w:lineRule="auto"/>
        <w:ind w:right="146"/>
      </w:pPr>
      <w:r>
        <w:t>Indien aan bovenstaande criteria niet wordt voldaan kan in uitzonderingsgevallen na goedkeuring door de indicatiecommissie een</w:t>
      </w:r>
      <w:r>
        <w:rPr>
          <w:spacing w:val="-2"/>
        </w:rPr>
        <w:t xml:space="preserve"> </w:t>
      </w:r>
      <w:r>
        <w:t>off-label indicatie</w:t>
      </w:r>
      <w:r>
        <w:rPr>
          <w:spacing w:val="-1"/>
        </w:rPr>
        <w:t xml:space="preserve"> </w:t>
      </w:r>
      <w:r>
        <w:t xml:space="preserve">worden afgeven. Er dient sprake te zijn van renaal fosfaatverlies zonder aantoonbare PHEX mutatie (noch een familiair voorkomende vorm van </w:t>
      </w:r>
      <w:proofErr w:type="spellStart"/>
      <w:r>
        <w:t>hypofosfatemische</w:t>
      </w:r>
      <w:proofErr w:type="spellEnd"/>
      <w:r>
        <w:t xml:space="preserve"> rachitis met een</w:t>
      </w:r>
      <w:r>
        <w:rPr>
          <w:spacing w:val="-1"/>
        </w:rPr>
        <w:t xml:space="preserve"> </w:t>
      </w:r>
      <w:r>
        <w:t>X-chromosomaal</w:t>
      </w:r>
      <w:r>
        <w:rPr>
          <w:spacing w:val="-1"/>
        </w:rPr>
        <w:t xml:space="preserve"> </w:t>
      </w:r>
      <w:r>
        <w:t xml:space="preserve">overervingspatroon). Er dient tevens sprake te zijn van een matige tot ernstige </w:t>
      </w:r>
      <w:proofErr w:type="spellStart"/>
      <w:r>
        <w:t>hypofosfatemie</w:t>
      </w:r>
      <w:proofErr w:type="spellEnd"/>
      <w:r>
        <w:t xml:space="preserve"> (plasma fosfaat &lt;0.70 </w:t>
      </w:r>
      <w:proofErr w:type="spellStart"/>
      <w:r>
        <w:t>mmol</w:t>
      </w:r>
      <w:proofErr w:type="spellEnd"/>
      <w:r>
        <w:t>/L) én een verlaagde renale fosfaatdrempel (</w:t>
      </w:r>
      <w:proofErr w:type="spellStart"/>
      <w:r>
        <w:t>TmP</w:t>
      </w:r>
      <w:proofErr w:type="spellEnd"/>
      <w:r>
        <w:t xml:space="preserve">/GFR &lt;35 jaar: &lt; 1.0 </w:t>
      </w:r>
      <w:proofErr w:type="spellStart"/>
      <w:r>
        <w:t>mmol</w:t>
      </w:r>
      <w:proofErr w:type="spellEnd"/>
      <w:r>
        <w:t xml:space="preserve">/L; 35-65 jaar &lt;0.9 </w:t>
      </w:r>
      <w:proofErr w:type="spellStart"/>
      <w:r>
        <w:t>mmol</w:t>
      </w:r>
      <w:proofErr w:type="spellEnd"/>
      <w:r>
        <w:t xml:space="preserve">/L; &gt;65 jaar &lt;0.8 </w:t>
      </w:r>
      <w:proofErr w:type="spellStart"/>
      <w:r>
        <w:t>mmol</w:t>
      </w:r>
      <w:proofErr w:type="spellEnd"/>
      <w:r>
        <w:t>/L)</w:t>
      </w:r>
      <w:r>
        <w:rPr>
          <w:spacing w:val="-4"/>
        </w:rPr>
        <w:t xml:space="preserve"> </w:t>
      </w:r>
      <w:r>
        <w:t>met</w:t>
      </w:r>
      <w:r>
        <w:rPr>
          <w:spacing w:val="-1"/>
        </w:rPr>
        <w:t xml:space="preserve"> </w:t>
      </w:r>
      <w:r>
        <w:t>daarbij</w:t>
      </w:r>
      <w:r>
        <w:rPr>
          <w:spacing w:val="-4"/>
        </w:rPr>
        <w:t xml:space="preserve"> </w:t>
      </w:r>
      <w:r>
        <w:t>een</w:t>
      </w:r>
      <w:r>
        <w:rPr>
          <w:spacing w:val="-5"/>
        </w:rPr>
        <w:t xml:space="preserve"> </w:t>
      </w:r>
      <w:r>
        <w:t>serum C-terminal</w:t>
      </w:r>
      <w:r>
        <w:rPr>
          <w:spacing w:val="-2"/>
        </w:rPr>
        <w:t xml:space="preserve"> </w:t>
      </w:r>
      <w:r>
        <w:t>FGF23</w:t>
      </w:r>
      <w:r>
        <w:rPr>
          <w:spacing w:val="-1"/>
        </w:rPr>
        <w:t xml:space="preserve"> </w:t>
      </w:r>
      <w:r>
        <w:t>dat</w:t>
      </w:r>
      <w:r>
        <w:rPr>
          <w:spacing w:val="-4"/>
        </w:rPr>
        <w:t xml:space="preserve"> </w:t>
      </w:r>
      <w:r>
        <w:t>verhoogd</w:t>
      </w:r>
      <w:r>
        <w:rPr>
          <w:spacing w:val="-1"/>
        </w:rPr>
        <w:t xml:space="preserve"> </w:t>
      </w:r>
      <w:r>
        <w:t>is</w:t>
      </w:r>
      <w:r>
        <w:rPr>
          <w:spacing w:val="-2"/>
        </w:rPr>
        <w:t xml:space="preserve"> </w:t>
      </w:r>
      <w:r>
        <w:t>voor</w:t>
      </w:r>
      <w:r>
        <w:rPr>
          <w:spacing w:val="-2"/>
        </w:rPr>
        <w:t xml:space="preserve"> </w:t>
      </w:r>
      <w:r>
        <w:t>de</w:t>
      </w:r>
      <w:r>
        <w:rPr>
          <w:spacing w:val="-4"/>
        </w:rPr>
        <w:t xml:space="preserve"> </w:t>
      </w:r>
      <w:r>
        <w:t>mate</w:t>
      </w:r>
      <w:r>
        <w:rPr>
          <w:spacing w:val="-3"/>
        </w:rPr>
        <w:t xml:space="preserve"> </w:t>
      </w:r>
      <w:r>
        <w:t>van</w:t>
      </w:r>
      <w:r>
        <w:rPr>
          <w:spacing w:val="-2"/>
        </w:rPr>
        <w:t xml:space="preserve"> </w:t>
      </w:r>
      <w:proofErr w:type="spellStart"/>
      <w:r>
        <w:t>hypofosfatemie</w:t>
      </w:r>
      <w:proofErr w:type="spellEnd"/>
      <w:r>
        <w:t>. Deze metingen dienen te zijn gedaan in nuchtere toestand (laatste maaltijd &gt;8 uur geleden) en tenminste tweemaal afwijkend te zijn met een tussenliggende periode van tenminste 14 dagen.</w:t>
      </w:r>
    </w:p>
    <w:p w14:paraId="5C8940A6" w14:textId="0FE36D4E" w:rsidR="00861D40" w:rsidRDefault="00A31D89">
      <w:pPr>
        <w:pStyle w:val="BodyText"/>
        <w:spacing w:before="2" w:line="276" w:lineRule="auto"/>
        <w:ind w:right="159"/>
      </w:pPr>
      <w:r>
        <w:t xml:space="preserve">Daarnaast dient voldaan te </w:t>
      </w:r>
      <w:r w:rsidR="001B052D">
        <w:t>zijn</w:t>
      </w:r>
      <w:r>
        <w:t xml:space="preserve"> aan tenminste één van de criteria onder item II en </w:t>
      </w:r>
      <w:r w:rsidR="001B052D">
        <w:t xml:space="preserve">ook </w:t>
      </w:r>
      <w:r>
        <w:t>aan item III (</w:t>
      </w:r>
      <w:proofErr w:type="spellStart"/>
      <w:r>
        <w:t>eGFR</w:t>
      </w:r>
      <w:proofErr w:type="spellEnd"/>
      <w:r>
        <w:t xml:space="preserve"> &gt;60 ml/min/1.7</w:t>
      </w:r>
      <w:r w:rsidR="005024B5">
        <w:t>3</w:t>
      </w:r>
      <w:r>
        <w:t>m</w:t>
      </w:r>
      <w:r>
        <w:rPr>
          <w:vertAlign w:val="superscript"/>
        </w:rPr>
        <w:t>2</w:t>
      </w:r>
      <w:r>
        <w:t xml:space="preserve">). Indien binnen 6 maanden na start behandeling geen biochemische respons is opgetreden wordt de behandeling met </w:t>
      </w:r>
      <w:proofErr w:type="spellStart"/>
      <w:r>
        <w:t>burosumab</w:t>
      </w:r>
      <w:proofErr w:type="spellEnd"/>
      <w:r>
        <w:t xml:space="preserve"> gestaakt. Op 12 maanden na start van de</w:t>
      </w:r>
      <w:r>
        <w:rPr>
          <w:spacing w:val="-1"/>
        </w:rPr>
        <w:t xml:space="preserve"> </w:t>
      </w:r>
      <w:r>
        <w:t>behandeling</w:t>
      </w:r>
      <w:r>
        <w:rPr>
          <w:spacing w:val="-2"/>
        </w:rPr>
        <w:t xml:space="preserve"> </w:t>
      </w:r>
      <w:r>
        <w:t>wordt</w:t>
      </w:r>
      <w:r>
        <w:rPr>
          <w:spacing w:val="-1"/>
        </w:rPr>
        <w:t xml:space="preserve"> </w:t>
      </w:r>
      <w:r>
        <w:t>de</w:t>
      </w:r>
      <w:r>
        <w:rPr>
          <w:spacing w:val="-4"/>
        </w:rPr>
        <w:t xml:space="preserve"> </w:t>
      </w:r>
      <w:r>
        <w:t>klinische effectiviteit</w:t>
      </w:r>
      <w:r>
        <w:rPr>
          <w:spacing w:val="-4"/>
        </w:rPr>
        <w:t xml:space="preserve"> </w:t>
      </w:r>
      <w:r>
        <w:t>(dat</w:t>
      </w:r>
      <w:r>
        <w:rPr>
          <w:spacing w:val="-5"/>
        </w:rPr>
        <w:t xml:space="preserve"> </w:t>
      </w:r>
      <w:r>
        <w:t>wil</w:t>
      </w:r>
      <w:r>
        <w:rPr>
          <w:spacing w:val="-4"/>
        </w:rPr>
        <w:t xml:space="preserve"> </w:t>
      </w:r>
      <w:r>
        <w:t>zeggen</w:t>
      </w:r>
      <w:r>
        <w:rPr>
          <w:spacing w:val="-2"/>
        </w:rPr>
        <w:t xml:space="preserve"> </w:t>
      </w:r>
      <w:r>
        <w:t>een</w:t>
      </w:r>
      <w:r>
        <w:rPr>
          <w:spacing w:val="-5"/>
        </w:rPr>
        <w:t xml:space="preserve"> </w:t>
      </w:r>
      <w:r>
        <w:t>verbetering</w:t>
      </w:r>
      <w:r>
        <w:rPr>
          <w:spacing w:val="-5"/>
        </w:rPr>
        <w:t xml:space="preserve"> </w:t>
      </w:r>
      <w:r>
        <w:t>van</w:t>
      </w:r>
      <w:r>
        <w:rPr>
          <w:spacing w:val="-2"/>
        </w:rPr>
        <w:t xml:space="preserve"> </w:t>
      </w:r>
      <w:r>
        <w:t>symptomen</w:t>
      </w:r>
      <w:r>
        <w:rPr>
          <w:spacing w:val="-4"/>
        </w:rPr>
        <w:t xml:space="preserve"> </w:t>
      </w:r>
      <w:r>
        <w:t xml:space="preserve">zoals genoemd onder item II, zie sectie 3.1) door de </w:t>
      </w:r>
      <w:r w:rsidR="00D20A04">
        <w:t xml:space="preserve">Indicatiecommissie </w:t>
      </w:r>
      <w:r>
        <w:t>geëvalueerd.</w:t>
      </w:r>
    </w:p>
    <w:p w14:paraId="4E0727DF" w14:textId="77777777" w:rsidR="00861D40" w:rsidRDefault="00861D40">
      <w:pPr>
        <w:pStyle w:val="BodyText"/>
        <w:spacing w:before="34"/>
        <w:ind w:left="0"/>
      </w:pPr>
    </w:p>
    <w:p w14:paraId="03916ECE" w14:textId="77777777" w:rsidR="00861D40" w:rsidRDefault="00A31D89">
      <w:pPr>
        <w:pStyle w:val="ListParagraph"/>
        <w:numPr>
          <w:ilvl w:val="1"/>
          <w:numId w:val="5"/>
        </w:numPr>
        <w:tabs>
          <w:tab w:val="left" w:pos="420"/>
        </w:tabs>
        <w:spacing w:before="1"/>
        <w:ind w:left="420" w:hanging="279"/>
      </w:pPr>
      <w:r>
        <w:rPr>
          <w:spacing w:val="1"/>
          <w:u w:val="single"/>
        </w:rPr>
        <w:t xml:space="preserve"> </w:t>
      </w:r>
      <w:r>
        <w:rPr>
          <w:spacing w:val="-2"/>
          <w:u w:val="single"/>
        </w:rPr>
        <w:t>Behandelduur</w:t>
      </w:r>
    </w:p>
    <w:p w14:paraId="41E85818" w14:textId="792FE992" w:rsidR="00861D40" w:rsidRDefault="00A31D89" w:rsidP="00B0292F">
      <w:pPr>
        <w:pStyle w:val="BodyText"/>
        <w:spacing w:before="41" w:line="276" w:lineRule="auto"/>
        <w:ind w:right="146"/>
      </w:pPr>
      <w:r>
        <w:t xml:space="preserve">Bij patiënten zonder klinische respons op </w:t>
      </w:r>
      <w:proofErr w:type="spellStart"/>
      <w:r>
        <w:t>burosumab</w:t>
      </w:r>
      <w:proofErr w:type="spellEnd"/>
      <w:r>
        <w:t xml:space="preserve"> (verbetering van symptomen genoemd onder II.1, II.2 of II.3) zal de behandeling uiterlijk op 12 maanden na start van de behandeling worden gestaakt, en gaat de patiënt verder met conventionele therapie. Bij patiënten die wel een klinische respons hebben in het eerste jaar na start </w:t>
      </w:r>
      <w:proofErr w:type="spellStart"/>
      <w:r>
        <w:t>burosumab</w:t>
      </w:r>
      <w:proofErr w:type="spellEnd"/>
      <w:r>
        <w:t xml:space="preserve"> bedraagt de behandelduur 18 maanden.</w:t>
      </w:r>
      <w:r>
        <w:rPr>
          <w:vertAlign w:val="superscript"/>
        </w:rPr>
        <w:t>5</w:t>
      </w:r>
      <w:r>
        <w:rPr>
          <w:spacing w:val="-3"/>
        </w:rPr>
        <w:t xml:space="preserve"> </w:t>
      </w:r>
      <w:r>
        <w:t>Op</w:t>
      </w:r>
      <w:r>
        <w:rPr>
          <w:spacing w:val="-3"/>
        </w:rPr>
        <w:t xml:space="preserve"> </w:t>
      </w:r>
      <w:r>
        <w:t>18</w:t>
      </w:r>
      <w:r>
        <w:rPr>
          <w:spacing w:val="-3"/>
        </w:rPr>
        <w:t xml:space="preserve"> </w:t>
      </w:r>
      <w:r>
        <w:t>maanden</w:t>
      </w:r>
      <w:r>
        <w:rPr>
          <w:spacing w:val="-2"/>
        </w:rPr>
        <w:t xml:space="preserve"> </w:t>
      </w:r>
      <w:r>
        <w:t>na</w:t>
      </w:r>
      <w:r>
        <w:rPr>
          <w:spacing w:val="-1"/>
        </w:rPr>
        <w:t xml:space="preserve"> </w:t>
      </w:r>
      <w:r>
        <w:t>start</w:t>
      </w:r>
      <w:r>
        <w:rPr>
          <w:spacing w:val="-4"/>
        </w:rPr>
        <w:t xml:space="preserve"> </w:t>
      </w:r>
      <w:r>
        <w:t>van</w:t>
      </w:r>
      <w:r>
        <w:rPr>
          <w:spacing w:val="-3"/>
        </w:rPr>
        <w:t xml:space="preserve"> </w:t>
      </w:r>
      <w:r>
        <w:t>de</w:t>
      </w:r>
      <w:r>
        <w:rPr>
          <w:spacing w:val="-1"/>
        </w:rPr>
        <w:t xml:space="preserve"> </w:t>
      </w:r>
      <w:r>
        <w:t>behandeling</w:t>
      </w:r>
      <w:r>
        <w:rPr>
          <w:spacing w:val="-4"/>
        </w:rPr>
        <w:t xml:space="preserve"> </w:t>
      </w:r>
      <w:r>
        <w:t>dient</w:t>
      </w:r>
      <w:r>
        <w:rPr>
          <w:spacing w:val="-1"/>
        </w:rPr>
        <w:t xml:space="preserve"> </w:t>
      </w:r>
      <w:r w:rsidR="00654FF5">
        <w:t xml:space="preserve">de </w:t>
      </w:r>
      <w:proofErr w:type="spellStart"/>
      <w:r w:rsidR="00654FF5">
        <w:t>burosumab</w:t>
      </w:r>
      <w:proofErr w:type="spellEnd"/>
      <w:r w:rsidR="00654FF5">
        <w:rPr>
          <w:spacing w:val="-4"/>
        </w:rPr>
        <w:t xml:space="preserve"> </w:t>
      </w:r>
      <w:r>
        <w:t>te</w:t>
      </w:r>
      <w:r>
        <w:rPr>
          <w:spacing w:val="-4"/>
        </w:rPr>
        <w:t xml:space="preserve"> </w:t>
      </w:r>
      <w:r>
        <w:t>worden</w:t>
      </w:r>
      <w:r>
        <w:rPr>
          <w:spacing w:val="-2"/>
        </w:rPr>
        <w:t xml:space="preserve"> </w:t>
      </w:r>
      <w:r>
        <w:t>gestaakt en</w:t>
      </w:r>
      <w:r>
        <w:rPr>
          <w:spacing w:val="-2"/>
        </w:rPr>
        <w:t xml:space="preserve"> </w:t>
      </w:r>
      <w:r>
        <w:t>zal</w:t>
      </w:r>
      <w:r>
        <w:rPr>
          <w:spacing w:val="-5"/>
        </w:rPr>
        <w:t xml:space="preserve"> </w:t>
      </w:r>
      <w:r>
        <w:t xml:space="preserve">patiënt in principe </w:t>
      </w:r>
      <w:r w:rsidR="00654FF5">
        <w:t xml:space="preserve">de </w:t>
      </w:r>
      <w:r>
        <w:t>conventionele</w:t>
      </w:r>
      <w:r>
        <w:rPr>
          <w:spacing w:val="-1"/>
        </w:rPr>
        <w:t xml:space="preserve"> </w:t>
      </w:r>
      <w:r>
        <w:t>therapie met fosfaat supplementen en actief</w:t>
      </w:r>
      <w:r>
        <w:rPr>
          <w:spacing w:val="-1"/>
        </w:rPr>
        <w:t xml:space="preserve"> </w:t>
      </w:r>
      <w:r>
        <w:t>vitamine</w:t>
      </w:r>
      <w:r>
        <w:rPr>
          <w:spacing w:val="-2"/>
        </w:rPr>
        <w:t xml:space="preserve"> </w:t>
      </w:r>
      <w:r>
        <w:t>D herstarten. Indien vervolgens</w:t>
      </w:r>
      <w:r w:rsidR="00BF051E">
        <w:t>, na tenminste 3 maanden staken,</w:t>
      </w:r>
      <w:r>
        <w:t xml:space="preserve"> opnieuw aan </w:t>
      </w:r>
      <w:r w:rsidR="00654FF5">
        <w:t xml:space="preserve">eerder genoemde </w:t>
      </w:r>
      <w:r>
        <w:t>startcriteria wordt voldaan, en indien de</w:t>
      </w:r>
      <w:r>
        <w:rPr>
          <w:spacing w:val="-2"/>
        </w:rPr>
        <w:t xml:space="preserve"> </w:t>
      </w:r>
      <w:r>
        <w:t xml:space="preserve">patiënt eerder goed heeft gerespondeerd op behandeling, dan kan de casus opnieuw aan de </w:t>
      </w:r>
      <w:r w:rsidR="00654FF5">
        <w:t xml:space="preserve">Indicatiecommissie </w:t>
      </w:r>
      <w:r>
        <w:t xml:space="preserve">worden voorgelegd. De commissie kan adviseren te </w:t>
      </w:r>
      <w:r w:rsidR="00654FF5">
        <w:t xml:space="preserve">herstarten </w:t>
      </w:r>
      <w:r>
        <w:t xml:space="preserve">voor </w:t>
      </w:r>
      <w:r w:rsidR="00665DB7">
        <w:t xml:space="preserve">onbepaalde </w:t>
      </w:r>
      <w:r>
        <w:t xml:space="preserve">duur </w:t>
      </w:r>
      <w:r w:rsidR="00665DB7">
        <w:t xml:space="preserve">(met een </w:t>
      </w:r>
      <w:proofErr w:type="spellStart"/>
      <w:r w:rsidR="00665DB7">
        <w:t>herevaluatie</w:t>
      </w:r>
      <w:proofErr w:type="spellEnd"/>
      <w:r w:rsidR="00665DB7">
        <w:t xml:space="preserve"> zonder stoppen iedere 2 jaar)</w:t>
      </w:r>
      <w:r w:rsidR="00BF051E">
        <w:t>; hiervoor wordt verwezen naar het protocol ‘</w:t>
      </w:r>
      <w:r w:rsidR="00BF051E" w:rsidRPr="00BF051E">
        <w:t>Behandelprotocol</w:t>
      </w:r>
      <w:r w:rsidR="00654FF5">
        <w:t xml:space="preserve"> </w:t>
      </w:r>
      <w:r w:rsidR="00BF051E" w:rsidRPr="00BF051E">
        <w:t xml:space="preserve">Herstarten </w:t>
      </w:r>
      <w:proofErr w:type="spellStart"/>
      <w:r w:rsidR="00BF051E" w:rsidRPr="00BF051E">
        <w:t>busosumab</w:t>
      </w:r>
      <w:proofErr w:type="spellEnd"/>
      <w:r w:rsidR="00BF051E" w:rsidRPr="00BF051E">
        <w:t xml:space="preserve"> bij XLH</w:t>
      </w:r>
      <w:r w:rsidR="00BF051E">
        <w:t>’.</w:t>
      </w:r>
      <w:r w:rsidR="004F0620">
        <w:t xml:space="preserve"> Hieraan moet worden toegevoegd dat bij </w:t>
      </w:r>
      <w:r w:rsidR="004F0620" w:rsidRPr="004F0620">
        <w:t xml:space="preserve">patiënten &gt;70 jaar </w:t>
      </w:r>
      <w:r w:rsidR="004F0620">
        <w:t xml:space="preserve">deze </w:t>
      </w:r>
      <w:proofErr w:type="spellStart"/>
      <w:r w:rsidR="004F0620" w:rsidRPr="004F0620">
        <w:t>herevaluatie</w:t>
      </w:r>
      <w:proofErr w:type="spellEnd"/>
      <w:r w:rsidR="004F0620" w:rsidRPr="004F0620">
        <w:t xml:space="preserve"> jaarlijks</w:t>
      </w:r>
      <w:r w:rsidR="004F0620">
        <w:t xml:space="preserve"> </w:t>
      </w:r>
      <w:r w:rsidR="00654FF5">
        <w:t>moet</w:t>
      </w:r>
      <w:r w:rsidR="004F0620">
        <w:t xml:space="preserve"> plaatsvinden</w:t>
      </w:r>
      <w:r w:rsidR="004F0620" w:rsidRPr="004F0620">
        <w:t>.</w:t>
      </w:r>
      <w:r>
        <w:t>.</w:t>
      </w:r>
    </w:p>
    <w:p w14:paraId="0B73B955" w14:textId="77777777" w:rsidR="00B447D2" w:rsidRDefault="00B447D2">
      <w:pPr>
        <w:pStyle w:val="BodyText"/>
        <w:spacing w:before="2" w:line="276" w:lineRule="auto"/>
        <w:ind w:right="146"/>
      </w:pPr>
    </w:p>
    <w:p w14:paraId="5151E949" w14:textId="7EB070CC" w:rsidR="00B447D2" w:rsidRDefault="00B447D2" w:rsidP="00B447D2">
      <w:pPr>
        <w:tabs>
          <w:tab w:val="left" w:pos="719"/>
        </w:tabs>
        <w:spacing w:before="4" w:line="276" w:lineRule="auto"/>
        <w:ind w:right="144"/>
      </w:pPr>
      <w:r>
        <w:t>De behandeling bij geplande orthopedische chirurgie met inbrengen van chirurgisch materiaal is 6 maanden preoperatief tot een maximale duur van 18 maanden. De behandelduur bij een gestoorde botgenezing maximaal 12 maanden</w:t>
      </w:r>
      <w:r w:rsidRPr="00B447D2">
        <w:rPr>
          <w:spacing w:val="-2"/>
        </w:rPr>
        <w:t>.</w:t>
      </w:r>
    </w:p>
    <w:p w14:paraId="51FF5B06" w14:textId="77777777" w:rsidR="00861D40" w:rsidRDefault="00861D40">
      <w:pPr>
        <w:pStyle w:val="BodyText"/>
        <w:spacing w:before="43"/>
        <w:ind w:left="0"/>
      </w:pPr>
    </w:p>
    <w:p w14:paraId="4C53E293" w14:textId="60CCA0EB" w:rsidR="00861D40" w:rsidRDefault="00A31D89">
      <w:pPr>
        <w:spacing w:line="276" w:lineRule="auto"/>
        <w:ind w:left="141" w:right="146"/>
        <w:rPr>
          <w:sz w:val="21"/>
        </w:rPr>
      </w:pPr>
      <w:r>
        <w:rPr>
          <w:sz w:val="21"/>
        </w:rPr>
        <w:t xml:space="preserve">Noot: De </w:t>
      </w:r>
      <w:r w:rsidR="001B052D">
        <w:rPr>
          <w:sz w:val="21"/>
        </w:rPr>
        <w:t>start</w:t>
      </w:r>
      <w:r>
        <w:rPr>
          <w:sz w:val="21"/>
        </w:rPr>
        <w:t>criteria zijn gebaseerd op de inclusiecriteria van de twee fase 3 studies bij volwassenen met XLH</w:t>
      </w:r>
      <w:r>
        <w:rPr>
          <w:spacing w:val="-4"/>
          <w:sz w:val="21"/>
        </w:rPr>
        <w:t xml:space="preserve"> </w:t>
      </w:r>
      <w:r>
        <w:rPr>
          <w:sz w:val="21"/>
        </w:rPr>
        <w:t>met</w:t>
      </w:r>
      <w:r>
        <w:rPr>
          <w:spacing w:val="-1"/>
          <w:sz w:val="21"/>
        </w:rPr>
        <w:t xml:space="preserve"> </w:t>
      </w:r>
      <w:r>
        <w:rPr>
          <w:sz w:val="21"/>
        </w:rPr>
        <w:t>als</w:t>
      </w:r>
      <w:r>
        <w:rPr>
          <w:spacing w:val="-3"/>
          <w:sz w:val="21"/>
        </w:rPr>
        <w:t xml:space="preserve"> </w:t>
      </w:r>
      <w:r>
        <w:rPr>
          <w:sz w:val="21"/>
        </w:rPr>
        <w:t>primaire</w:t>
      </w:r>
      <w:r>
        <w:rPr>
          <w:spacing w:val="-4"/>
          <w:sz w:val="21"/>
        </w:rPr>
        <w:t xml:space="preserve"> </w:t>
      </w:r>
      <w:r>
        <w:rPr>
          <w:sz w:val="21"/>
        </w:rPr>
        <w:t>eindpunten</w:t>
      </w:r>
      <w:r>
        <w:rPr>
          <w:spacing w:val="-3"/>
          <w:sz w:val="21"/>
        </w:rPr>
        <w:t xml:space="preserve"> </w:t>
      </w:r>
      <w:r>
        <w:rPr>
          <w:sz w:val="21"/>
        </w:rPr>
        <w:t>(respectievelijk)</w:t>
      </w:r>
      <w:r>
        <w:rPr>
          <w:spacing w:val="-1"/>
          <w:sz w:val="21"/>
        </w:rPr>
        <w:t xml:space="preserve"> </w:t>
      </w:r>
      <w:r>
        <w:rPr>
          <w:sz w:val="21"/>
        </w:rPr>
        <w:t>een</w:t>
      </w:r>
      <w:r>
        <w:rPr>
          <w:spacing w:val="-2"/>
          <w:sz w:val="21"/>
        </w:rPr>
        <w:t xml:space="preserve"> </w:t>
      </w:r>
      <w:r>
        <w:rPr>
          <w:sz w:val="21"/>
        </w:rPr>
        <w:t>serum</w:t>
      </w:r>
      <w:r>
        <w:rPr>
          <w:spacing w:val="-3"/>
          <w:sz w:val="21"/>
        </w:rPr>
        <w:t xml:space="preserve"> </w:t>
      </w:r>
      <w:r>
        <w:rPr>
          <w:sz w:val="21"/>
        </w:rPr>
        <w:t>fosfaat</w:t>
      </w:r>
      <w:r>
        <w:rPr>
          <w:spacing w:val="-3"/>
          <w:sz w:val="21"/>
        </w:rPr>
        <w:t xml:space="preserve"> </w:t>
      </w:r>
      <w:r>
        <w:rPr>
          <w:sz w:val="21"/>
        </w:rPr>
        <w:t>&gt;0.81</w:t>
      </w:r>
      <w:r>
        <w:rPr>
          <w:spacing w:val="-3"/>
          <w:sz w:val="21"/>
        </w:rPr>
        <w:t xml:space="preserve"> </w:t>
      </w:r>
      <w:proofErr w:type="spellStart"/>
      <w:r>
        <w:rPr>
          <w:sz w:val="21"/>
        </w:rPr>
        <w:t>mmol</w:t>
      </w:r>
      <w:proofErr w:type="spellEnd"/>
      <w:r>
        <w:rPr>
          <w:sz w:val="21"/>
        </w:rPr>
        <w:t>/L</w:t>
      </w:r>
      <w:r>
        <w:rPr>
          <w:sz w:val="21"/>
          <w:vertAlign w:val="superscript"/>
        </w:rPr>
        <w:t>3</w:t>
      </w:r>
      <w:r>
        <w:rPr>
          <w:spacing w:val="-3"/>
          <w:sz w:val="21"/>
        </w:rPr>
        <w:t xml:space="preserve"> </w:t>
      </w:r>
      <w:r>
        <w:rPr>
          <w:sz w:val="21"/>
        </w:rPr>
        <w:t>en</w:t>
      </w:r>
      <w:r>
        <w:rPr>
          <w:spacing w:val="-2"/>
          <w:sz w:val="21"/>
        </w:rPr>
        <w:t xml:space="preserve"> </w:t>
      </w:r>
      <w:r>
        <w:rPr>
          <w:sz w:val="21"/>
        </w:rPr>
        <w:t>een</w:t>
      </w:r>
      <w:r>
        <w:rPr>
          <w:spacing w:val="-4"/>
          <w:sz w:val="21"/>
        </w:rPr>
        <w:t xml:space="preserve"> </w:t>
      </w:r>
      <w:r>
        <w:rPr>
          <w:sz w:val="21"/>
        </w:rPr>
        <w:t>verbetering</w:t>
      </w:r>
      <w:r>
        <w:rPr>
          <w:spacing w:val="-2"/>
          <w:sz w:val="21"/>
        </w:rPr>
        <w:t xml:space="preserve"> </w:t>
      </w:r>
      <w:r>
        <w:rPr>
          <w:sz w:val="21"/>
        </w:rPr>
        <w:t>in botvolume, vastgesteld middels botbiopten op 0 en 48 weken</w:t>
      </w:r>
      <w:r>
        <w:rPr>
          <w:sz w:val="21"/>
          <w:vertAlign w:val="superscript"/>
        </w:rPr>
        <w:t>4</w:t>
      </w:r>
      <w:r>
        <w:rPr>
          <w:sz w:val="21"/>
        </w:rPr>
        <w:t xml:space="preserve">. In deze studies werden geen patiënten ouder dan 65 jaar meegenomen; wij achten het echter aannemelijk dat ook bij patiënten ouder dan 65 jaar die aan bovenstaande criteria voldoen </w:t>
      </w:r>
      <w:proofErr w:type="spellStart"/>
      <w:r>
        <w:rPr>
          <w:sz w:val="21"/>
        </w:rPr>
        <w:t>burosumab</w:t>
      </w:r>
      <w:proofErr w:type="spellEnd"/>
      <w:r>
        <w:rPr>
          <w:sz w:val="21"/>
        </w:rPr>
        <w:t xml:space="preserve"> effectief kan zijn</w:t>
      </w:r>
      <w:r w:rsidR="004F0620">
        <w:rPr>
          <w:sz w:val="21"/>
        </w:rPr>
        <w:t xml:space="preserve">, waarbij bij gebruik voor ‘onbepaalde tijd’ (zoals hierboven beschreven) er jaarlijks een </w:t>
      </w:r>
      <w:proofErr w:type="spellStart"/>
      <w:r w:rsidR="004F0620">
        <w:rPr>
          <w:sz w:val="21"/>
        </w:rPr>
        <w:t>herevaluatie</w:t>
      </w:r>
      <w:proofErr w:type="spellEnd"/>
      <w:r w:rsidR="004F0620">
        <w:rPr>
          <w:sz w:val="21"/>
        </w:rPr>
        <w:t xml:space="preserve"> dienst plaats te vinden</w:t>
      </w:r>
      <w:r w:rsidR="00425BCD">
        <w:rPr>
          <w:sz w:val="21"/>
        </w:rPr>
        <w:t xml:space="preserve"> bij patiënten ouder dan 70 jaar</w:t>
      </w:r>
      <w:r>
        <w:rPr>
          <w:sz w:val="21"/>
        </w:rPr>
        <w:t>.</w:t>
      </w:r>
    </w:p>
    <w:p w14:paraId="492802BC" w14:textId="77777777" w:rsidR="00861D40" w:rsidRDefault="00861D40">
      <w:pPr>
        <w:pStyle w:val="BodyText"/>
        <w:ind w:left="0"/>
        <w:rPr>
          <w:sz w:val="21"/>
        </w:rPr>
      </w:pPr>
    </w:p>
    <w:p w14:paraId="1EFDBE44" w14:textId="77777777" w:rsidR="00861D40" w:rsidRDefault="00861D40">
      <w:pPr>
        <w:pStyle w:val="BodyText"/>
        <w:spacing w:before="102"/>
        <w:ind w:left="0"/>
        <w:rPr>
          <w:sz w:val="21"/>
        </w:rPr>
      </w:pPr>
    </w:p>
    <w:p w14:paraId="0778F3A0" w14:textId="77777777" w:rsidR="00861D40" w:rsidRDefault="00A31D89">
      <w:pPr>
        <w:pStyle w:val="Heading1"/>
        <w:numPr>
          <w:ilvl w:val="0"/>
          <w:numId w:val="5"/>
        </w:numPr>
        <w:tabs>
          <w:tab w:val="left" w:pos="360"/>
        </w:tabs>
        <w:ind w:left="360" w:hanging="219"/>
      </w:pPr>
      <w:r>
        <w:rPr>
          <w:spacing w:val="-2"/>
        </w:rPr>
        <w:t>Indicatiecommissie</w:t>
      </w:r>
    </w:p>
    <w:p w14:paraId="4626E816" w14:textId="11D7AAE9" w:rsidR="00861D40" w:rsidRDefault="00A31D89">
      <w:pPr>
        <w:pStyle w:val="BodyText"/>
        <w:spacing w:before="41" w:line="276" w:lineRule="auto"/>
        <w:ind w:right="192"/>
      </w:pPr>
      <w:r>
        <w:t xml:space="preserve">Er zijn verschillende redenen die een </w:t>
      </w:r>
      <w:r w:rsidR="000D07EF">
        <w:t xml:space="preserve">Indicatiecommissie </w:t>
      </w:r>
      <w:r>
        <w:t xml:space="preserve">wenselijk maken. Allereerst is XLH een ziektebeeld met een sterk variabele presentatie, met een klachtenpatroon dat kan variëren van vrijwel asymptomatisch tot sterk invaliderend. Ook is er nog relatief weinig literatuur beschikbaar, maar zal er naar verwachting in de komende jaren meer duidelijk worden over de behandeling met </w:t>
      </w:r>
      <w:proofErr w:type="spellStart"/>
      <w:r>
        <w:t>burosumab</w:t>
      </w:r>
      <w:proofErr w:type="spellEnd"/>
      <w:r>
        <w:t>. Het is dan ook van belang om frequent te monitoren of bovenstaande</w:t>
      </w:r>
      <w:r>
        <w:rPr>
          <w:spacing w:val="-2"/>
        </w:rPr>
        <w:t xml:space="preserve"> </w:t>
      </w:r>
      <w:r>
        <w:t>criteria</w:t>
      </w:r>
      <w:r>
        <w:rPr>
          <w:spacing w:val="-4"/>
        </w:rPr>
        <w:t xml:space="preserve"> </w:t>
      </w:r>
      <w:r>
        <w:t>nog</w:t>
      </w:r>
      <w:r>
        <w:rPr>
          <w:spacing w:val="-4"/>
        </w:rPr>
        <w:t xml:space="preserve"> </w:t>
      </w:r>
      <w:r>
        <w:t>passend</w:t>
      </w:r>
      <w:r>
        <w:rPr>
          <w:spacing w:val="-3"/>
        </w:rPr>
        <w:t xml:space="preserve"> </w:t>
      </w:r>
      <w:r>
        <w:t>zijn</w:t>
      </w:r>
      <w:r>
        <w:rPr>
          <w:spacing w:val="-4"/>
        </w:rPr>
        <w:t xml:space="preserve"> </w:t>
      </w:r>
      <w:r>
        <w:t>voor</w:t>
      </w:r>
      <w:r>
        <w:rPr>
          <w:spacing w:val="-4"/>
        </w:rPr>
        <w:t xml:space="preserve"> </w:t>
      </w:r>
      <w:r>
        <w:t>de</w:t>
      </w:r>
      <w:r>
        <w:rPr>
          <w:spacing w:val="-2"/>
        </w:rPr>
        <w:t xml:space="preserve"> </w:t>
      </w:r>
      <w:r>
        <w:t>beoogde</w:t>
      </w:r>
      <w:r>
        <w:rPr>
          <w:spacing w:val="-2"/>
        </w:rPr>
        <w:t xml:space="preserve"> </w:t>
      </w:r>
      <w:r>
        <w:t>populatie</w:t>
      </w:r>
      <w:r>
        <w:rPr>
          <w:spacing w:val="-4"/>
        </w:rPr>
        <w:t xml:space="preserve"> </w:t>
      </w:r>
      <w:r>
        <w:t>tegen</w:t>
      </w:r>
      <w:r>
        <w:rPr>
          <w:spacing w:val="-3"/>
        </w:rPr>
        <w:t xml:space="preserve"> </w:t>
      </w:r>
      <w:r>
        <w:t>de</w:t>
      </w:r>
      <w:r>
        <w:rPr>
          <w:spacing w:val="-2"/>
        </w:rPr>
        <w:t xml:space="preserve"> </w:t>
      </w:r>
      <w:r>
        <w:t>achtergrond</w:t>
      </w:r>
      <w:r>
        <w:rPr>
          <w:spacing w:val="-4"/>
        </w:rPr>
        <w:t xml:space="preserve"> </w:t>
      </w:r>
      <w:r>
        <w:t>van</w:t>
      </w:r>
      <w:r>
        <w:rPr>
          <w:spacing w:val="-4"/>
        </w:rPr>
        <w:t xml:space="preserve"> </w:t>
      </w:r>
      <w:r>
        <w:t xml:space="preserve">nieuwe </w:t>
      </w:r>
      <w:r>
        <w:rPr>
          <w:spacing w:val="-2"/>
        </w:rPr>
        <w:t>literatuur.</w:t>
      </w:r>
    </w:p>
    <w:p w14:paraId="5DA27F37" w14:textId="77777777" w:rsidR="00861D40" w:rsidRDefault="00A31D89">
      <w:pPr>
        <w:pStyle w:val="BodyText"/>
        <w:spacing w:before="1" w:line="276" w:lineRule="auto"/>
        <w:ind w:right="145"/>
      </w:pPr>
      <w:r>
        <w:t>Daarnaast</w:t>
      </w:r>
      <w:r>
        <w:rPr>
          <w:spacing w:val="-4"/>
        </w:rPr>
        <w:t xml:space="preserve"> </w:t>
      </w:r>
      <w:r>
        <w:t>zijn</w:t>
      </w:r>
      <w:r>
        <w:rPr>
          <w:spacing w:val="-3"/>
        </w:rPr>
        <w:t xml:space="preserve"> </w:t>
      </w:r>
      <w:r>
        <w:t>er</w:t>
      </w:r>
      <w:r>
        <w:rPr>
          <w:spacing w:val="-2"/>
        </w:rPr>
        <w:t xml:space="preserve"> </w:t>
      </w:r>
      <w:r>
        <w:t>diagnostische</w:t>
      </w:r>
      <w:r>
        <w:rPr>
          <w:spacing w:val="-2"/>
        </w:rPr>
        <w:t xml:space="preserve"> </w:t>
      </w:r>
      <w:r>
        <w:t>uitdagingen.</w:t>
      </w:r>
      <w:r>
        <w:rPr>
          <w:spacing w:val="-2"/>
        </w:rPr>
        <w:t xml:space="preserve"> </w:t>
      </w:r>
      <w:r>
        <w:t>In</w:t>
      </w:r>
      <w:r>
        <w:rPr>
          <w:spacing w:val="-3"/>
        </w:rPr>
        <w:t xml:space="preserve"> </w:t>
      </w:r>
      <w:r>
        <w:t>de</w:t>
      </w:r>
      <w:r>
        <w:rPr>
          <w:spacing w:val="-1"/>
        </w:rPr>
        <w:t xml:space="preserve"> </w:t>
      </w:r>
      <w:r>
        <w:t>studies</w:t>
      </w:r>
      <w:r>
        <w:rPr>
          <w:spacing w:val="-1"/>
        </w:rPr>
        <w:t xml:space="preserve"> </w:t>
      </w:r>
      <w:r>
        <w:t>van</w:t>
      </w:r>
      <w:r>
        <w:rPr>
          <w:spacing w:val="-5"/>
        </w:rPr>
        <w:t xml:space="preserve"> </w:t>
      </w:r>
      <w:proofErr w:type="spellStart"/>
      <w:r>
        <w:t>Insogna</w:t>
      </w:r>
      <w:proofErr w:type="spellEnd"/>
      <w:r>
        <w:rPr>
          <w:spacing w:val="-4"/>
        </w:rPr>
        <w:t xml:space="preserve"> </w:t>
      </w:r>
      <w:r>
        <w:t>et</w:t>
      </w:r>
      <w:r>
        <w:rPr>
          <w:spacing w:val="-1"/>
        </w:rPr>
        <w:t xml:space="preserve"> </w:t>
      </w:r>
      <w:r>
        <w:t>al</w:t>
      </w:r>
      <w:r>
        <w:rPr>
          <w:vertAlign w:val="superscript"/>
        </w:rPr>
        <w:t>3,4</w:t>
      </w:r>
      <w:r>
        <w:rPr>
          <w:spacing w:val="-3"/>
        </w:rPr>
        <w:t xml:space="preserve"> </w:t>
      </w:r>
      <w:r>
        <w:t>is</w:t>
      </w:r>
      <w:r>
        <w:rPr>
          <w:spacing w:val="-2"/>
        </w:rPr>
        <w:t xml:space="preserve"> </w:t>
      </w:r>
      <w:r>
        <w:t>intact</w:t>
      </w:r>
      <w:r>
        <w:rPr>
          <w:spacing w:val="-1"/>
        </w:rPr>
        <w:t xml:space="preserve"> </w:t>
      </w:r>
      <w:r>
        <w:t>FGF23</w:t>
      </w:r>
      <w:r>
        <w:rPr>
          <w:spacing w:val="-1"/>
        </w:rPr>
        <w:t xml:space="preserve"> </w:t>
      </w:r>
      <w:r>
        <w:t xml:space="preserve">gemeten met de zogenaamde </w:t>
      </w:r>
      <w:proofErr w:type="spellStart"/>
      <w:r>
        <w:t>Kainos</w:t>
      </w:r>
      <w:proofErr w:type="spellEnd"/>
      <w:r>
        <w:t xml:space="preserve"> assay als</w:t>
      </w:r>
      <w:r>
        <w:rPr>
          <w:spacing w:val="-1"/>
        </w:rPr>
        <w:t xml:space="preserve"> </w:t>
      </w:r>
      <w:r>
        <w:t>onderdeel van</w:t>
      </w:r>
      <w:r>
        <w:rPr>
          <w:spacing w:val="-1"/>
        </w:rPr>
        <w:t xml:space="preserve"> </w:t>
      </w:r>
      <w:r>
        <w:t>de inclusiecriteria. In Nederland is deze bepaling niet beschikbaar voor klinisch gebruik, en bovendien niet zeker van meerwaarde. Alternatief is de C- terminal FGF23 assay (</w:t>
      </w:r>
      <w:proofErr w:type="spellStart"/>
      <w:r>
        <w:t>Quidel</w:t>
      </w:r>
      <w:proofErr w:type="spellEnd"/>
      <w:r>
        <w:t>). Deze meet naast het intacte FGF23 ook C-terminal fragmenten en kent daardoor andere referentiewaarden, en heeft andere eenheden. De C-terminal assay is gevalideerd en wel klinisch beschikbaar (in het Amsterdam UMC).</w:t>
      </w:r>
    </w:p>
    <w:p w14:paraId="3DF7380C" w14:textId="19C474A7" w:rsidR="00861D40" w:rsidRDefault="00A31D89">
      <w:pPr>
        <w:pStyle w:val="BodyText"/>
        <w:spacing w:line="276" w:lineRule="auto"/>
        <w:ind w:right="146"/>
      </w:pPr>
      <w:r>
        <w:t>Ook</w:t>
      </w:r>
      <w:r>
        <w:rPr>
          <w:spacing w:val="-4"/>
        </w:rPr>
        <w:t xml:space="preserve"> </w:t>
      </w:r>
      <w:r>
        <w:t>dient</w:t>
      </w:r>
      <w:r>
        <w:rPr>
          <w:spacing w:val="-2"/>
        </w:rPr>
        <w:t xml:space="preserve"> </w:t>
      </w:r>
      <w:r>
        <w:t>het</w:t>
      </w:r>
      <w:r>
        <w:rPr>
          <w:spacing w:val="-2"/>
        </w:rPr>
        <w:t xml:space="preserve"> </w:t>
      </w:r>
      <w:r>
        <w:t>inzetten</w:t>
      </w:r>
      <w:r>
        <w:rPr>
          <w:spacing w:val="-4"/>
        </w:rPr>
        <w:t xml:space="preserve"> </w:t>
      </w:r>
      <w:r>
        <w:t>van</w:t>
      </w:r>
      <w:r>
        <w:rPr>
          <w:spacing w:val="-4"/>
        </w:rPr>
        <w:t xml:space="preserve"> </w:t>
      </w:r>
      <w:proofErr w:type="spellStart"/>
      <w:r>
        <w:t>burosumab</w:t>
      </w:r>
      <w:proofErr w:type="spellEnd"/>
      <w:r>
        <w:rPr>
          <w:spacing w:val="-3"/>
        </w:rPr>
        <w:t xml:space="preserve"> </w:t>
      </w:r>
      <w:r>
        <w:t>buiten</w:t>
      </w:r>
      <w:r>
        <w:rPr>
          <w:spacing w:val="-3"/>
        </w:rPr>
        <w:t xml:space="preserve"> </w:t>
      </w:r>
      <w:r>
        <w:t>het</w:t>
      </w:r>
      <w:r>
        <w:rPr>
          <w:spacing w:val="-3"/>
        </w:rPr>
        <w:t xml:space="preserve"> </w:t>
      </w:r>
      <w:r>
        <w:t>indicatiegebied</w:t>
      </w:r>
      <w:r>
        <w:rPr>
          <w:spacing w:val="-4"/>
        </w:rPr>
        <w:t xml:space="preserve"> </w:t>
      </w:r>
      <w:r>
        <w:t>te</w:t>
      </w:r>
      <w:r>
        <w:rPr>
          <w:spacing w:val="-4"/>
        </w:rPr>
        <w:t xml:space="preserve"> </w:t>
      </w:r>
      <w:r>
        <w:t>worden</w:t>
      </w:r>
      <w:r>
        <w:rPr>
          <w:spacing w:val="-4"/>
        </w:rPr>
        <w:t xml:space="preserve"> </w:t>
      </w:r>
      <w:r>
        <w:t>vermeden</w:t>
      </w:r>
      <w:r>
        <w:rPr>
          <w:spacing w:val="-3"/>
        </w:rPr>
        <w:t xml:space="preserve"> </w:t>
      </w:r>
      <w:r>
        <w:t>vanwege</w:t>
      </w:r>
      <w:r>
        <w:rPr>
          <w:spacing w:val="-2"/>
        </w:rPr>
        <w:t xml:space="preserve"> </w:t>
      </w:r>
      <w:r>
        <w:t>de zeer</w:t>
      </w:r>
      <w:r>
        <w:rPr>
          <w:spacing w:val="-1"/>
        </w:rPr>
        <w:t xml:space="preserve"> </w:t>
      </w:r>
      <w:r>
        <w:t>hoge kosten.</w:t>
      </w:r>
      <w:r>
        <w:rPr>
          <w:spacing w:val="-1"/>
        </w:rPr>
        <w:t xml:space="preserve"> </w:t>
      </w:r>
      <w:r>
        <w:t>Tegelijkertijd</w:t>
      </w:r>
      <w:r>
        <w:rPr>
          <w:spacing w:val="-1"/>
        </w:rPr>
        <w:t xml:space="preserve"> </w:t>
      </w:r>
      <w:r>
        <w:t>moet er</w:t>
      </w:r>
      <w:r>
        <w:rPr>
          <w:spacing w:val="-3"/>
        </w:rPr>
        <w:t xml:space="preserve"> </w:t>
      </w:r>
      <w:r>
        <w:t>in</w:t>
      </w:r>
      <w:r>
        <w:rPr>
          <w:spacing w:val="-1"/>
        </w:rPr>
        <w:t xml:space="preserve"> </w:t>
      </w:r>
      <w:r>
        <w:t>uitzonderingsgevallen,</w:t>
      </w:r>
      <w:r>
        <w:rPr>
          <w:spacing w:val="-3"/>
        </w:rPr>
        <w:t xml:space="preserve"> </w:t>
      </w:r>
      <w:r>
        <w:t>waarbij</w:t>
      </w:r>
      <w:r>
        <w:rPr>
          <w:spacing w:val="-3"/>
        </w:rPr>
        <w:t xml:space="preserve"> </w:t>
      </w:r>
      <w:r>
        <w:t>er</w:t>
      </w:r>
      <w:r>
        <w:rPr>
          <w:spacing w:val="-1"/>
        </w:rPr>
        <w:t xml:space="preserve"> </w:t>
      </w:r>
      <w:r>
        <w:t>goede redenen zijn</w:t>
      </w:r>
      <w:r>
        <w:rPr>
          <w:spacing w:val="-2"/>
        </w:rPr>
        <w:t xml:space="preserve"> </w:t>
      </w:r>
      <w:r>
        <w:t xml:space="preserve">om aan te nemen dat </w:t>
      </w:r>
      <w:proofErr w:type="spellStart"/>
      <w:r>
        <w:t>burosumab</w:t>
      </w:r>
      <w:proofErr w:type="spellEnd"/>
      <w:r>
        <w:t xml:space="preserve"> effectief kan zijn, de mogelijkheid bestaan om in overleg met de </w:t>
      </w:r>
      <w:r w:rsidR="000D07EF">
        <w:t xml:space="preserve">Indicatiecommissie </w:t>
      </w:r>
      <w:r>
        <w:t>van bovenstaande richtlijn af te kunnen wijken. Tenslotte is registratie van de patiënten die (mogelijk) aan de geformuleerde criteria voldoen van belang, evenals de respons op therapie (zie punt 5).</w:t>
      </w:r>
    </w:p>
    <w:p w14:paraId="502E00BF" w14:textId="377F2432" w:rsidR="00861D40" w:rsidRDefault="00A31D89">
      <w:pPr>
        <w:pStyle w:val="BodyText"/>
        <w:spacing w:line="276" w:lineRule="auto"/>
        <w:ind w:right="146"/>
      </w:pPr>
      <w:r>
        <w:t>De</w:t>
      </w:r>
      <w:r>
        <w:rPr>
          <w:spacing w:val="-1"/>
        </w:rPr>
        <w:t xml:space="preserve"> </w:t>
      </w:r>
      <w:r w:rsidR="000D07EF">
        <w:t>Indicatiecommissie</w:t>
      </w:r>
      <w:r w:rsidR="000D07EF">
        <w:rPr>
          <w:spacing w:val="-4"/>
        </w:rPr>
        <w:t xml:space="preserve"> </w:t>
      </w:r>
      <w:r>
        <w:t>voor</w:t>
      </w:r>
      <w:r>
        <w:rPr>
          <w:spacing w:val="-1"/>
        </w:rPr>
        <w:t xml:space="preserve"> </w:t>
      </w:r>
      <w:r>
        <w:t>volwassen</w:t>
      </w:r>
      <w:r>
        <w:rPr>
          <w:spacing w:val="-2"/>
        </w:rPr>
        <w:t xml:space="preserve"> </w:t>
      </w:r>
      <w:r>
        <w:t>patiënten</w:t>
      </w:r>
      <w:r>
        <w:rPr>
          <w:spacing w:val="-2"/>
        </w:rPr>
        <w:t xml:space="preserve"> </w:t>
      </w:r>
      <w:r>
        <w:t>bestaa</w:t>
      </w:r>
      <w:r w:rsidR="00665DB7">
        <w:t>t</w:t>
      </w:r>
      <w:r>
        <w:rPr>
          <w:spacing w:val="-2"/>
        </w:rPr>
        <w:t xml:space="preserve"> </w:t>
      </w:r>
      <w:r>
        <w:t>uit</w:t>
      </w:r>
      <w:r>
        <w:rPr>
          <w:spacing w:val="-4"/>
        </w:rPr>
        <w:t xml:space="preserve"> </w:t>
      </w:r>
      <w:r>
        <w:t>nefrologen,</w:t>
      </w:r>
      <w:r>
        <w:rPr>
          <w:spacing w:val="-3"/>
        </w:rPr>
        <w:t xml:space="preserve"> </w:t>
      </w:r>
      <w:r>
        <w:t>endocrinologen</w:t>
      </w:r>
      <w:r>
        <w:rPr>
          <w:spacing w:val="-2"/>
        </w:rPr>
        <w:t xml:space="preserve"> </w:t>
      </w:r>
      <w:r>
        <w:t>en</w:t>
      </w:r>
      <w:r>
        <w:rPr>
          <w:spacing w:val="-3"/>
        </w:rPr>
        <w:t xml:space="preserve"> </w:t>
      </w:r>
      <w:r>
        <w:t>eventueel</w:t>
      </w:r>
      <w:r>
        <w:rPr>
          <w:spacing w:val="-3"/>
        </w:rPr>
        <w:t xml:space="preserve"> </w:t>
      </w:r>
      <w:r>
        <w:t>andere</w:t>
      </w:r>
      <w:r>
        <w:rPr>
          <w:spacing w:val="-2"/>
        </w:rPr>
        <w:t xml:space="preserve"> </w:t>
      </w:r>
      <w:r>
        <w:t>specialisten,</w:t>
      </w:r>
      <w:r>
        <w:rPr>
          <w:spacing w:val="-3"/>
        </w:rPr>
        <w:t xml:space="preserve"> </w:t>
      </w:r>
      <w:r>
        <w:t>allen</w:t>
      </w:r>
      <w:r>
        <w:rPr>
          <w:spacing w:val="-6"/>
        </w:rPr>
        <w:t xml:space="preserve"> </w:t>
      </w:r>
      <w:r>
        <w:t>met</w:t>
      </w:r>
      <w:r>
        <w:rPr>
          <w:spacing w:val="-4"/>
        </w:rPr>
        <w:t xml:space="preserve"> </w:t>
      </w:r>
      <w:r>
        <w:t>aantoonbare</w:t>
      </w:r>
      <w:r>
        <w:rPr>
          <w:spacing w:val="-2"/>
        </w:rPr>
        <w:t xml:space="preserve"> </w:t>
      </w:r>
      <w:r>
        <w:t>ervaring</w:t>
      </w:r>
      <w:r>
        <w:rPr>
          <w:spacing w:val="-4"/>
        </w:rPr>
        <w:t xml:space="preserve"> </w:t>
      </w:r>
      <w:r>
        <w:t>in</w:t>
      </w:r>
      <w:r>
        <w:rPr>
          <w:spacing w:val="-3"/>
        </w:rPr>
        <w:t xml:space="preserve"> </w:t>
      </w:r>
      <w:r>
        <w:t xml:space="preserve">de behandeling van volwassen patiënten of kinderen/adolescenten met XLH. </w:t>
      </w:r>
      <w:r w:rsidR="00512AD3">
        <w:t>Een be</w:t>
      </w:r>
      <w:r w:rsidR="008C4550">
        <w:t>sl</w:t>
      </w:r>
      <w:r w:rsidR="00512AD3">
        <w:t xml:space="preserve">uit wordt genomen na het bereiken van consensus. </w:t>
      </w:r>
      <w:r>
        <w:t xml:space="preserve">De commissie brengt advies uit ten aanzien van behandeling met </w:t>
      </w:r>
      <w:proofErr w:type="spellStart"/>
      <w:r>
        <w:t>burosumab</w:t>
      </w:r>
      <w:proofErr w:type="spellEnd"/>
      <w:r>
        <w:t xml:space="preserve"> bij individuele patiënten die worden aangemeld door hun behandelaar.</w:t>
      </w:r>
    </w:p>
    <w:p w14:paraId="0B03DA34" w14:textId="77777777" w:rsidR="00861D40" w:rsidRDefault="00861D40">
      <w:pPr>
        <w:pStyle w:val="BodyText"/>
        <w:spacing w:before="81"/>
        <w:ind w:left="0"/>
      </w:pPr>
    </w:p>
    <w:p w14:paraId="3FBE56A6" w14:textId="77777777" w:rsidR="002C6754" w:rsidRDefault="002C6754">
      <w:pPr>
        <w:pStyle w:val="BodyText"/>
        <w:spacing w:before="81"/>
        <w:ind w:left="0"/>
      </w:pPr>
    </w:p>
    <w:p w14:paraId="2DD6B17E" w14:textId="77777777" w:rsidR="00861D40" w:rsidRDefault="00A31D89">
      <w:pPr>
        <w:pStyle w:val="Heading1"/>
        <w:numPr>
          <w:ilvl w:val="0"/>
          <w:numId w:val="5"/>
        </w:numPr>
        <w:tabs>
          <w:tab w:val="left" w:pos="360"/>
        </w:tabs>
        <w:spacing w:before="1"/>
        <w:ind w:left="360" w:hanging="219"/>
      </w:pPr>
      <w:r>
        <w:rPr>
          <w:spacing w:val="-2"/>
        </w:rPr>
        <w:t>Behandelcentra</w:t>
      </w:r>
    </w:p>
    <w:p w14:paraId="2063F5E2" w14:textId="77777777" w:rsidR="00861D40" w:rsidRDefault="00A31D89">
      <w:pPr>
        <w:pStyle w:val="BodyText"/>
        <w:spacing w:before="38"/>
        <w:rPr>
          <w:spacing w:val="-2"/>
        </w:rPr>
      </w:pPr>
      <w:r>
        <w:t>In</w:t>
      </w:r>
      <w:r>
        <w:rPr>
          <w:spacing w:val="-8"/>
        </w:rPr>
        <w:t xml:space="preserve"> </w:t>
      </w:r>
      <w:r>
        <w:t>principe</w:t>
      </w:r>
      <w:r>
        <w:rPr>
          <w:spacing w:val="-3"/>
        </w:rPr>
        <w:t xml:space="preserve"> </w:t>
      </w:r>
      <w:r>
        <w:t>zal</w:t>
      </w:r>
      <w:r>
        <w:rPr>
          <w:spacing w:val="-4"/>
        </w:rPr>
        <w:t xml:space="preserve"> </w:t>
      </w:r>
      <w:r>
        <w:t>de</w:t>
      </w:r>
      <w:r>
        <w:rPr>
          <w:spacing w:val="-4"/>
        </w:rPr>
        <w:t xml:space="preserve"> </w:t>
      </w:r>
      <w:r>
        <w:t>behandeling</w:t>
      </w:r>
      <w:r>
        <w:rPr>
          <w:spacing w:val="-4"/>
        </w:rPr>
        <w:t xml:space="preserve"> </w:t>
      </w:r>
      <w:r>
        <w:t>plaatsvinden</w:t>
      </w:r>
      <w:r>
        <w:rPr>
          <w:spacing w:val="-5"/>
        </w:rPr>
        <w:t xml:space="preserve"> </w:t>
      </w:r>
      <w:r>
        <w:t>in</w:t>
      </w:r>
      <w:r>
        <w:rPr>
          <w:spacing w:val="-4"/>
        </w:rPr>
        <w:t xml:space="preserve"> </w:t>
      </w:r>
      <w:r>
        <w:t>Universitaire</w:t>
      </w:r>
      <w:r>
        <w:rPr>
          <w:spacing w:val="-6"/>
        </w:rPr>
        <w:t xml:space="preserve"> </w:t>
      </w:r>
      <w:r>
        <w:t>Medisch</w:t>
      </w:r>
      <w:r>
        <w:rPr>
          <w:spacing w:val="-4"/>
        </w:rPr>
        <w:t xml:space="preserve"> </w:t>
      </w:r>
      <w:r>
        <w:t>Centra</w:t>
      </w:r>
      <w:r>
        <w:rPr>
          <w:spacing w:val="-6"/>
        </w:rPr>
        <w:t xml:space="preserve"> </w:t>
      </w:r>
      <w:r>
        <w:rPr>
          <w:spacing w:val="-2"/>
        </w:rPr>
        <w:t>(</w:t>
      </w:r>
      <w:proofErr w:type="spellStart"/>
      <w:r>
        <w:rPr>
          <w:spacing w:val="-2"/>
        </w:rPr>
        <w:t>UMCs</w:t>
      </w:r>
      <w:proofErr w:type="spellEnd"/>
      <w:r>
        <w:rPr>
          <w:spacing w:val="-2"/>
        </w:rPr>
        <w:t>).</w:t>
      </w:r>
    </w:p>
    <w:p w14:paraId="629FDB52" w14:textId="77777777" w:rsidR="00512AD3" w:rsidRDefault="00512AD3">
      <w:pPr>
        <w:pStyle w:val="BodyText"/>
        <w:spacing w:before="38"/>
      </w:pPr>
    </w:p>
    <w:p w14:paraId="6843EDAF" w14:textId="77777777" w:rsidR="002C6754" w:rsidRDefault="002C6754">
      <w:pPr>
        <w:pStyle w:val="BodyText"/>
        <w:spacing w:before="38"/>
      </w:pPr>
    </w:p>
    <w:p w14:paraId="6C1AD07A" w14:textId="77777777" w:rsidR="00861D40" w:rsidRDefault="00A31D89">
      <w:pPr>
        <w:pStyle w:val="Heading1"/>
        <w:numPr>
          <w:ilvl w:val="0"/>
          <w:numId w:val="5"/>
        </w:numPr>
        <w:tabs>
          <w:tab w:val="left" w:pos="360"/>
        </w:tabs>
        <w:spacing w:before="34"/>
        <w:ind w:left="360" w:hanging="219"/>
      </w:pPr>
      <w:r>
        <w:rPr>
          <w:spacing w:val="-2"/>
        </w:rPr>
        <w:t>Registratie</w:t>
      </w:r>
    </w:p>
    <w:p w14:paraId="5BBCBBF9" w14:textId="0174E660" w:rsidR="00861D40" w:rsidRDefault="00A31D89">
      <w:pPr>
        <w:pStyle w:val="BodyText"/>
        <w:spacing w:before="42" w:line="276" w:lineRule="auto"/>
        <w:ind w:right="202"/>
      </w:pPr>
      <w:r>
        <w:t>Het heeft de sterke voorkeur om alle patiënten die bij de indicatiecommissie worden aangemeld te registreren.</w:t>
      </w:r>
      <w:r>
        <w:rPr>
          <w:spacing w:val="-3"/>
        </w:rPr>
        <w:t xml:space="preserve"> </w:t>
      </w:r>
      <w:r>
        <w:t>Ook</w:t>
      </w:r>
      <w:r>
        <w:rPr>
          <w:spacing w:val="-1"/>
        </w:rPr>
        <w:t xml:space="preserve"> </w:t>
      </w:r>
      <w:r w:rsidR="000D07EF">
        <w:t>wordt</w:t>
      </w:r>
      <w:r w:rsidR="000D07EF">
        <w:rPr>
          <w:spacing w:val="-2"/>
        </w:rPr>
        <w:t xml:space="preserve"> </w:t>
      </w:r>
      <w:r>
        <w:t>de</w:t>
      </w:r>
      <w:r>
        <w:rPr>
          <w:spacing w:val="-4"/>
        </w:rPr>
        <w:t xml:space="preserve"> </w:t>
      </w:r>
      <w:r>
        <w:t>respons</w:t>
      </w:r>
      <w:r>
        <w:rPr>
          <w:spacing w:val="-1"/>
        </w:rPr>
        <w:t xml:space="preserve"> </w:t>
      </w:r>
      <w:r>
        <w:t>op</w:t>
      </w:r>
      <w:r>
        <w:rPr>
          <w:spacing w:val="-5"/>
        </w:rPr>
        <w:t xml:space="preserve"> </w:t>
      </w:r>
      <w:r>
        <w:t>ingestelde therapie</w:t>
      </w:r>
      <w:r>
        <w:rPr>
          <w:spacing w:val="-1"/>
        </w:rPr>
        <w:t xml:space="preserve"> </w:t>
      </w:r>
      <w:r>
        <w:t>ingevoerd</w:t>
      </w:r>
      <w:r>
        <w:rPr>
          <w:spacing w:val="-4"/>
        </w:rPr>
        <w:t xml:space="preserve"> </w:t>
      </w:r>
      <w:r>
        <w:t>in</w:t>
      </w:r>
      <w:r>
        <w:rPr>
          <w:spacing w:val="-2"/>
        </w:rPr>
        <w:t xml:space="preserve"> </w:t>
      </w:r>
      <w:r>
        <w:t>een</w:t>
      </w:r>
      <w:r>
        <w:rPr>
          <w:spacing w:val="-2"/>
        </w:rPr>
        <w:t xml:space="preserve"> </w:t>
      </w:r>
      <w:r>
        <w:t>nationaal</w:t>
      </w:r>
      <w:r>
        <w:rPr>
          <w:spacing w:val="-5"/>
        </w:rPr>
        <w:t xml:space="preserve"> </w:t>
      </w:r>
      <w:r w:rsidR="000D07EF">
        <w:t>register</w:t>
      </w:r>
      <w:r>
        <w:t xml:space="preserve">. </w:t>
      </w:r>
      <w:r w:rsidR="000D00C4">
        <w:t>Op dit moment wordt hiervoor</w:t>
      </w:r>
      <w:r>
        <w:t xml:space="preserve"> het Nederlandse register voor chronische </w:t>
      </w:r>
      <w:proofErr w:type="spellStart"/>
      <w:r>
        <w:t>hypofosfatemie</w:t>
      </w:r>
      <w:proofErr w:type="spellEnd"/>
      <w:r w:rsidR="000D07EF">
        <w:t>,</w:t>
      </w:r>
      <w:r w:rsidR="0005685A">
        <w:t xml:space="preserve"> </w:t>
      </w:r>
      <w:r>
        <w:t>ORPHOS-NED</w:t>
      </w:r>
      <w:r w:rsidR="000D07EF">
        <w:t>,</w:t>
      </w:r>
      <w:r>
        <w:t xml:space="preserve"> gebruik</w:t>
      </w:r>
      <w:r w:rsidR="000D00C4">
        <w:t>t</w:t>
      </w:r>
      <w:r w:rsidR="00B44DEE">
        <w:t>;</w:t>
      </w:r>
      <w:r>
        <w:t xml:space="preserve"> </w:t>
      </w:r>
      <w:r w:rsidR="00B44DEE">
        <w:t>d</w:t>
      </w:r>
      <w:r>
        <w:t xml:space="preserve">e verantwoordelijkheid voor </w:t>
      </w:r>
      <w:r w:rsidR="00B44DEE">
        <w:t xml:space="preserve">de aanmelding voor ORPHOS-NED </w:t>
      </w:r>
      <w:r>
        <w:t>ligt bij (het centrum van) de hoofdbehandelaar.</w:t>
      </w:r>
    </w:p>
    <w:p w14:paraId="72842FC6" w14:textId="77777777" w:rsidR="00861D40" w:rsidRDefault="00861D40">
      <w:pPr>
        <w:pStyle w:val="BodyText"/>
        <w:spacing w:before="40"/>
        <w:ind w:left="0"/>
      </w:pPr>
    </w:p>
    <w:p w14:paraId="5CB02947" w14:textId="77777777" w:rsidR="002C6754" w:rsidRDefault="002C6754">
      <w:pPr>
        <w:pStyle w:val="BodyText"/>
        <w:spacing w:before="40"/>
        <w:ind w:left="0"/>
      </w:pPr>
    </w:p>
    <w:p w14:paraId="5429A37C" w14:textId="77777777" w:rsidR="00861D40" w:rsidRDefault="00A31D89">
      <w:pPr>
        <w:pStyle w:val="Heading1"/>
        <w:numPr>
          <w:ilvl w:val="0"/>
          <w:numId w:val="5"/>
        </w:numPr>
        <w:tabs>
          <w:tab w:val="left" w:pos="360"/>
        </w:tabs>
        <w:ind w:left="360" w:hanging="219"/>
      </w:pPr>
      <w:r>
        <w:rPr>
          <w:spacing w:val="-2"/>
        </w:rPr>
        <w:t>Referenties</w:t>
      </w:r>
    </w:p>
    <w:p w14:paraId="5C719CE5" w14:textId="77777777" w:rsidR="00861D40" w:rsidRDefault="00A31D89">
      <w:pPr>
        <w:pStyle w:val="ListParagraph"/>
        <w:numPr>
          <w:ilvl w:val="0"/>
          <w:numId w:val="1"/>
        </w:numPr>
        <w:tabs>
          <w:tab w:val="left" w:pos="782"/>
        </w:tabs>
        <w:spacing w:before="41" w:line="276" w:lineRule="auto"/>
        <w:ind w:right="1413"/>
      </w:pPr>
      <w:r w:rsidRPr="000272AF">
        <w:rPr>
          <w:lang w:val="en-US"/>
        </w:rPr>
        <w:t>Naderi</w:t>
      </w:r>
      <w:r w:rsidRPr="000272AF">
        <w:rPr>
          <w:spacing w:val="-3"/>
          <w:lang w:val="en-US"/>
        </w:rPr>
        <w:t xml:space="preserve"> </w:t>
      </w:r>
      <w:r w:rsidRPr="000272AF">
        <w:rPr>
          <w:lang w:val="en-US"/>
        </w:rPr>
        <w:t>ASA,</w:t>
      </w:r>
      <w:r w:rsidRPr="000272AF">
        <w:rPr>
          <w:spacing w:val="-3"/>
          <w:lang w:val="en-US"/>
        </w:rPr>
        <w:t xml:space="preserve"> </w:t>
      </w:r>
      <w:r w:rsidRPr="000272AF">
        <w:rPr>
          <w:lang w:val="en-US"/>
        </w:rPr>
        <w:t>Reilly</w:t>
      </w:r>
      <w:r w:rsidRPr="000272AF">
        <w:rPr>
          <w:spacing w:val="-2"/>
          <w:lang w:val="en-US"/>
        </w:rPr>
        <w:t xml:space="preserve"> </w:t>
      </w:r>
      <w:r w:rsidRPr="000272AF">
        <w:rPr>
          <w:lang w:val="en-US"/>
        </w:rPr>
        <w:t>RF.</w:t>
      </w:r>
      <w:r w:rsidRPr="000272AF">
        <w:rPr>
          <w:spacing w:val="-3"/>
          <w:lang w:val="en-US"/>
        </w:rPr>
        <w:t xml:space="preserve"> </w:t>
      </w:r>
      <w:r w:rsidRPr="000272AF">
        <w:rPr>
          <w:lang w:val="en-US"/>
        </w:rPr>
        <w:t>Hereditary</w:t>
      </w:r>
      <w:r w:rsidRPr="000272AF">
        <w:rPr>
          <w:spacing w:val="-3"/>
          <w:lang w:val="en-US"/>
        </w:rPr>
        <w:t xml:space="preserve"> </w:t>
      </w:r>
      <w:r w:rsidRPr="000272AF">
        <w:rPr>
          <w:lang w:val="en-US"/>
        </w:rPr>
        <w:t>disorders</w:t>
      </w:r>
      <w:r w:rsidRPr="000272AF">
        <w:rPr>
          <w:spacing w:val="-5"/>
          <w:lang w:val="en-US"/>
        </w:rPr>
        <w:t xml:space="preserve"> </w:t>
      </w:r>
      <w:r w:rsidRPr="000272AF">
        <w:rPr>
          <w:lang w:val="en-US"/>
        </w:rPr>
        <w:t>of</w:t>
      </w:r>
      <w:r w:rsidRPr="000272AF">
        <w:rPr>
          <w:spacing w:val="-3"/>
          <w:lang w:val="en-US"/>
        </w:rPr>
        <w:t xml:space="preserve"> </w:t>
      </w:r>
      <w:r w:rsidRPr="000272AF">
        <w:rPr>
          <w:lang w:val="en-US"/>
        </w:rPr>
        <w:t>renal</w:t>
      </w:r>
      <w:r w:rsidRPr="000272AF">
        <w:rPr>
          <w:spacing w:val="-3"/>
          <w:lang w:val="en-US"/>
        </w:rPr>
        <w:t xml:space="preserve"> </w:t>
      </w:r>
      <w:r w:rsidRPr="000272AF">
        <w:rPr>
          <w:lang w:val="en-US"/>
        </w:rPr>
        <w:t>phosphate</w:t>
      </w:r>
      <w:r w:rsidRPr="000272AF">
        <w:rPr>
          <w:spacing w:val="-5"/>
          <w:lang w:val="en-US"/>
        </w:rPr>
        <w:t xml:space="preserve"> </w:t>
      </w:r>
      <w:r w:rsidRPr="000272AF">
        <w:rPr>
          <w:lang w:val="en-US"/>
        </w:rPr>
        <w:t>wasting.</w:t>
      </w:r>
      <w:r w:rsidRPr="000272AF">
        <w:rPr>
          <w:spacing w:val="-3"/>
          <w:lang w:val="en-US"/>
        </w:rPr>
        <w:t xml:space="preserve"> </w:t>
      </w:r>
      <w:r>
        <w:rPr>
          <w:i/>
        </w:rPr>
        <w:t>Nat</w:t>
      </w:r>
      <w:r>
        <w:rPr>
          <w:i/>
          <w:spacing w:val="-2"/>
        </w:rPr>
        <w:t xml:space="preserve"> </w:t>
      </w:r>
      <w:proofErr w:type="spellStart"/>
      <w:r>
        <w:rPr>
          <w:i/>
        </w:rPr>
        <w:t>Rev</w:t>
      </w:r>
      <w:proofErr w:type="spellEnd"/>
      <w:r>
        <w:t xml:space="preserve">. </w:t>
      </w:r>
      <w:r>
        <w:rPr>
          <w:spacing w:val="-2"/>
        </w:rPr>
        <w:t>2010;6(11):657-665.</w:t>
      </w:r>
    </w:p>
    <w:p w14:paraId="0D9CD6A9" w14:textId="77777777" w:rsidR="00861D40" w:rsidRDefault="00A31D89">
      <w:pPr>
        <w:pStyle w:val="ListParagraph"/>
        <w:numPr>
          <w:ilvl w:val="0"/>
          <w:numId w:val="1"/>
        </w:numPr>
        <w:tabs>
          <w:tab w:val="left" w:pos="782"/>
        </w:tabs>
        <w:spacing w:line="276" w:lineRule="auto"/>
        <w:ind w:right="839"/>
      </w:pPr>
      <w:r w:rsidRPr="000272AF">
        <w:rPr>
          <w:lang w:val="en-US"/>
        </w:rPr>
        <w:t>Shalhoub</w:t>
      </w:r>
      <w:r w:rsidRPr="000272AF">
        <w:rPr>
          <w:spacing w:val="-3"/>
          <w:lang w:val="en-US"/>
        </w:rPr>
        <w:t xml:space="preserve"> </w:t>
      </w:r>
      <w:r w:rsidRPr="000272AF">
        <w:rPr>
          <w:lang w:val="en-US"/>
        </w:rPr>
        <w:t>V,</w:t>
      </w:r>
      <w:r w:rsidRPr="000272AF">
        <w:rPr>
          <w:spacing w:val="-3"/>
          <w:lang w:val="en-US"/>
        </w:rPr>
        <w:t xml:space="preserve"> </w:t>
      </w:r>
      <w:proofErr w:type="spellStart"/>
      <w:r w:rsidRPr="000272AF">
        <w:rPr>
          <w:lang w:val="en-US"/>
        </w:rPr>
        <w:t>Shatzen</w:t>
      </w:r>
      <w:proofErr w:type="spellEnd"/>
      <w:r w:rsidRPr="000272AF">
        <w:rPr>
          <w:spacing w:val="-3"/>
          <w:lang w:val="en-US"/>
        </w:rPr>
        <w:t xml:space="preserve"> </w:t>
      </w:r>
      <w:r w:rsidRPr="000272AF">
        <w:rPr>
          <w:lang w:val="en-US"/>
        </w:rPr>
        <w:t>EM,</w:t>
      </w:r>
      <w:r w:rsidRPr="000272AF">
        <w:rPr>
          <w:spacing w:val="-5"/>
          <w:lang w:val="en-US"/>
        </w:rPr>
        <w:t xml:space="preserve"> </w:t>
      </w:r>
      <w:r w:rsidRPr="000272AF">
        <w:rPr>
          <w:lang w:val="en-US"/>
        </w:rPr>
        <w:t>Ward</w:t>
      </w:r>
      <w:r w:rsidRPr="000272AF">
        <w:rPr>
          <w:spacing w:val="-3"/>
          <w:lang w:val="en-US"/>
        </w:rPr>
        <w:t xml:space="preserve"> </w:t>
      </w:r>
      <w:r w:rsidRPr="000272AF">
        <w:rPr>
          <w:lang w:val="en-US"/>
        </w:rPr>
        <w:t>SC,</w:t>
      </w:r>
      <w:r w:rsidRPr="000272AF">
        <w:rPr>
          <w:spacing w:val="-4"/>
          <w:lang w:val="en-US"/>
        </w:rPr>
        <w:t xml:space="preserve"> </w:t>
      </w:r>
      <w:r w:rsidRPr="000272AF">
        <w:rPr>
          <w:lang w:val="en-US"/>
        </w:rPr>
        <w:t>et</w:t>
      </w:r>
      <w:r w:rsidRPr="000272AF">
        <w:rPr>
          <w:spacing w:val="-2"/>
          <w:lang w:val="en-US"/>
        </w:rPr>
        <w:t xml:space="preserve"> </w:t>
      </w:r>
      <w:r w:rsidRPr="000272AF">
        <w:rPr>
          <w:lang w:val="en-US"/>
        </w:rPr>
        <w:t>al.</w:t>
      </w:r>
      <w:r w:rsidRPr="000272AF">
        <w:rPr>
          <w:spacing w:val="-4"/>
          <w:lang w:val="en-US"/>
        </w:rPr>
        <w:t xml:space="preserve"> </w:t>
      </w:r>
      <w:r w:rsidRPr="000272AF">
        <w:rPr>
          <w:lang w:val="en-US"/>
        </w:rPr>
        <w:t>FGF23</w:t>
      </w:r>
      <w:r w:rsidRPr="000272AF">
        <w:rPr>
          <w:spacing w:val="-2"/>
          <w:lang w:val="en-US"/>
        </w:rPr>
        <w:t xml:space="preserve"> </w:t>
      </w:r>
      <w:r w:rsidRPr="000272AF">
        <w:rPr>
          <w:lang w:val="en-US"/>
        </w:rPr>
        <w:t>neutralization</w:t>
      </w:r>
      <w:r w:rsidRPr="000272AF">
        <w:rPr>
          <w:spacing w:val="-3"/>
          <w:lang w:val="en-US"/>
        </w:rPr>
        <w:t xml:space="preserve"> </w:t>
      </w:r>
      <w:r w:rsidRPr="000272AF">
        <w:rPr>
          <w:lang w:val="en-US"/>
        </w:rPr>
        <w:t>improves</w:t>
      </w:r>
      <w:r w:rsidRPr="000272AF">
        <w:rPr>
          <w:spacing w:val="-4"/>
          <w:lang w:val="en-US"/>
        </w:rPr>
        <w:t xml:space="preserve"> </w:t>
      </w:r>
      <w:r w:rsidRPr="000272AF">
        <w:rPr>
          <w:lang w:val="en-US"/>
        </w:rPr>
        <w:t>chronic</w:t>
      </w:r>
      <w:r w:rsidRPr="000272AF">
        <w:rPr>
          <w:spacing w:val="-5"/>
          <w:lang w:val="en-US"/>
        </w:rPr>
        <w:t xml:space="preserve"> </w:t>
      </w:r>
      <w:r w:rsidRPr="000272AF">
        <w:rPr>
          <w:lang w:val="en-US"/>
        </w:rPr>
        <w:t xml:space="preserve">kidney disease-associated hyperparathyroidism yet increases mortality. </w:t>
      </w:r>
      <w:r>
        <w:rPr>
          <w:i/>
        </w:rPr>
        <w:t xml:space="preserve">J </w:t>
      </w:r>
      <w:proofErr w:type="spellStart"/>
      <w:r>
        <w:rPr>
          <w:i/>
        </w:rPr>
        <w:t>Clin</w:t>
      </w:r>
      <w:proofErr w:type="spellEnd"/>
      <w:r>
        <w:rPr>
          <w:i/>
        </w:rPr>
        <w:t xml:space="preserve"> </w:t>
      </w:r>
      <w:proofErr w:type="spellStart"/>
      <w:r>
        <w:rPr>
          <w:i/>
        </w:rPr>
        <w:t>Invest</w:t>
      </w:r>
      <w:proofErr w:type="spellEnd"/>
      <w:r>
        <w:t xml:space="preserve">. </w:t>
      </w:r>
      <w:r>
        <w:rPr>
          <w:spacing w:val="-2"/>
        </w:rPr>
        <w:t>2012;122(7):2543-2553.</w:t>
      </w:r>
    </w:p>
    <w:p w14:paraId="54E3C039" w14:textId="77777777" w:rsidR="00861D40" w:rsidRDefault="00A31D89">
      <w:pPr>
        <w:pStyle w:val="ListParagraph"/>
        <w:numPr>
          <w:ilvl w:val="0"/>
          <w:numId w:val="1"/>
        </w:numPr>
        <w:tabs>
          <w:tab w:val="left" w:pos="782"/>
        </w:tabs>
        <w:spacing w:line="276" w:lineRule="auto"/>
        <w:ind w:right="358"/>
      </w:pPr>
      <w:proofErr w:type="spellStart"/>
      <w:r>
        <w:t>Insogna</w:t>
      </w:r>
      <w:proofErr w:type="spellEnd"/>
      <w:r>
        <w:rPr>
          <w:spacing w:val="-3"/>
        </w:rPr>
        <w:t xml:space="preserve"> </w:t>
      </w:r>
      <w:r>
        <w:t>KL,</w:t>
      </w:r>
      <w:r>
        <w:rPr>
          <w:spacing w:val="-3"/>
        </w:rPr>
        <w:t xml:space="preserve"> </w:t>
      </w:r>
      <w:proofErr w:type="spellStart"/>
      <w:r>
        <w:t>Briot</w:t>
      </w:r>
      <w:proofErr w:type="spellEnd"/>
      <w:r>
        <w:rPr>
          <w:spacing w:val="-5"/>
        </w:rPr>
        <w:t xml:space="preserve"> </w:t>
      </w:r>
      <w:r>
        <w:t>K,</w:t>
      </w:r>
      <w:r>
        <w:rPr>
          <w:spacing w:val="-2"/>
        </w:rPr>
        <w:t xml:space="preserve"> </w:t>
      </w:r>
      <w:r>
        <w:t>Imel</w:t>
      </w:r>
      <w:r>
        <w:rPr>
          <w:spacing w:val="-2"/>
        </w:rPr>
        <w:t xml:space="preserve"> </w:t>
      </w:r>
      <w:r>
        <w:t>EA,</w:t>
      </w:r>
      <w:r>
        <w:rPr>
          <w:spacing w:val="-3"/>
        </w:rPr>
        <w:t xml:space="preserve"> </w:t>
      </w:r>
      <w:r>
        <w:t>et</w:t>
      </w:r>
      <w:r>
        <w:rPr>
          <w:spacing w:val="-2"/>
        </w:rPr>
        <w:t xml:space="preserve"> </w:t>
      </w:r>
      <w:r>
        <w:t>al.</w:t>
      </w:r>
      <w:r>
        <w:rPr>
          <w:spacing w:val="-6"/>
        </w:rPr>
        <w:t xml:space="preserve"> </w:t>
      </w:r>
      <w:r w:rsidRPr="000272AF">
        <w:rPr>
          <w:lang w:val="en-US"/>
        </w:rPr>
        <w:t>A</w:t>
      </w:r>
      <w:r w:rsidRPr="000272AF">
        <w:rPr>
          <w:spacing w:val="-3"/>
          <w:lang w:val="en-US"/>
        </w:rPr>
        <w:t xml:space="preserve"> </w:t>
      </w:r>
      <w:r w:rsidRPr="000272AF">
        <w:rPr>
          <w:lang w:val="en-US"/>
        </w:rPr>
        <w:t>Randomized,</w:t>
      </w:r>
      <w:r w:rsidRPr="000272AF">
        <w:rPr>
          <w:spacing w:val="-5"/>
          <w:lang w:val="en-US"/>
        </w:rPr>
        <w:t xml:space="preserve"> </w:t>
      </w:r>
      <w:r w:rsidRPr="000272AF">
        <w:rPr>
          <w:lang w:val="en-US"/>
        </w:rPr>
        <w:t>Double-Blind,</w:t>
      </w:r>
      <w:r w:rsidRPr="000272AF">
        <w:rPr>
          <w:spacing w:val="-3"/>
          <w:lang w:val="en-US"/>
        </w:rPr>
        <w:t xml:space="preserve"> </w:t>
      </w:r>
      <w:r w:rsidRPr="000272AF">
        <w:rPr>
          <w:lang w:val="en-US"/>
        </w:rPr>
        <w:t>Placebo-Controlled,</w:t>
      </w:r>
      <w:r w:rsidRPr="000272AF">
        <w:rPr>
          <w:spacing w:val="-3"/>
          <w:lang w:val="en-US"/>
        </w:rPr>
        <w:t xml:space="preserve"> </w:t>
      </w:r>
      <w:r w:rsidRPr="000272AF">
        <w:rPr>
          <w:lang w:val="en-US"/>
        </w:rPr>
        <w:t>Phase</w:t>
      </w:r>
      <w:r w:rsidRPr="000272AF">
        <w:rPr>
          <w:spacing w:val="-5"/>
          <w:lang w:val="en-US"/>
        </w:rPr>
        <w:t xml:space="preserve"> </w:t>
      </w:r>
      <w:r w:rsidRPr="000272AF">
        <w:rPr>
          <w:lang w:val="en-US"/>
        </w:rPr>
        <w:t>3 Trial</w:t>
      </w:r>
      <w:r w:rsidRPr="000272AF">
        <w:rPr>
          <w:spacing w:val="-2"/>
          <w:lang w:val="en-US"/>
        </w:rPr>
        <w:t xml:space="preserve"> </w:t>
      </w:r>
      <w:r w:rsidRPr="000272AF">
        <w:rPr>
          <w:lang w:val="en-US"/>
        </w:rPr>
        <w:t>Evaluating</w:t>
      </w:r>
      <w:r w:rsidRPr="000272AF">
        <w:rPr>
          <w:spacing w:val="-1"/>
          <w:lang w:val="en-US"/>
        </w:rPr>
        <w:t xml:space="preserve"> </w:t>
      </w:r>
      <w:r w:rsidRPr="000272AF">
        <w:rPr>
          <w:lang w:val="en-US"/>
        </w:rPr>
        <w:t>the</w:t>
      </w:r>
      <w:r w:rsidRPr="000272AF">
        <w:rPr>
          <w:spacing w:val="-3"/>
          <w:lang w:val="en-US"/>
        </w:rPr>
        <w:t xml:space="preserve"> </w:t>
      </w:r>
      <w:r w:rsidRPr="000272AF">
        <w:rPr>
          <w:lang w:val="en-US"/>
        </w:rPr>
        <w:t>Efficacy</w:t>
      </w:r>
      <w:r w:rsidRPr="000272AF">
        <w:rPr>
          <w:spacing w:val="-2"/>
          <w:lang w:val="en-US"/>
        </w:rPr>
        <w:t xml:space="preserve"> </w:t>
      </w:r>
      <w:r w:rsidRPr="000272AF">
        <w:rPr>
          <w:lang w:val="en-US"/>
        </w:rPr>
        <w:t>of</w:t>
      </w:r>
      <w:r w:rsidRPr="000272AF">
        <w:rPr>
          <w:spacing w:val="-1"/>
          <w:lang w:val="en-US"/>
        </w:rPr>
        <w:t xml:space="preserve"> </w:t>
      </w:r>
      <w:proofErr w:type="spellStart"/>
      <w:r w:rsidRPr="000272AF">
        <w:rPr>
          <w:lang w:val="en-US"/>
        </w:rPr>
        <w:t>Burosumab</w:t>
      </w:r>
      <w:proofErr w:type="spellEnd"/>
      <w:r w:rsidRPr="000272AF">
        <w:rPr>
          <w:lang w:val="en-US"/>
        </w:rPr>
        <w:t>, an</w:t>
      </w:r>
      <w:r w:rsidRPr="000272AF">
        <w:rPr>
          <w:spacing w:val="-2"/>
          <w:lang w:val="en-US"/>
        </w:rPr>
        <w:t xml:space="preserve"> </w:t>
      </w:r>
      <w:r w:rsidRPr="000272AF">
        <w:rPr>
          <w:lang w:val="en-US"/>
        </w:rPr>
        <w:t>Anti-FGF23 Antibody,</w:t>
      </w:r>
      <w:r w:rsidRPr="000272AF">
        <w:rPr>
          <w:spacing w:val="-2"/>
          <w:lang w:val="en-US"/>
        </w:rPr>
        <w:t xml:space="preserve"> </w:t>
      </w:r>
      <w:r w:rsidRPr="000272AF">
        <w:rPr>
          <w:lang w:val="en-US"/>
        </w:rPr>
        <w:t>in</w:t>
      </w:r>
      <w:r w:rsidRPr="000272AF">
        <w:rPr>
          <w:spacing w:val="-1"/>
          <w:lang w:val="en-US"/>
        </w:rPr>
        <w:t xml:space="preserve"> </w:t>
      </w:r>
      <w:r w:rsidRPr="000272AF">
        <w:rPr>
          <w:lang w:val="en-US"/>
        </w:rPr>
        <w:t>Adults With</w:t>
      </w:r>
      <w:r w:rsidRPr="000272AF">
        <w:rPr>
          <w:spacing w:val="-2"/>
          <w:lang w:val="en-US"/>
        </w:rPr>
        <w:t xml:space="preserve"> </w:t>
      </w:r>
      <w:r w:rsidRPr="000272AF">
        <w:rPr>
          <w:lang w:val="en-US"/>
        </w:rPr>
        <w:t xml:space="preserve">X-Linked Hypophosphatemia: Week 24 Primary Analysis. </w:t>
      </w:r>
      <w:r>
        <w:rPr>
          <w:i/>
        </w:rPr>
        <w:t xml:space="preserve">J Bone </w:t>
      </w:r>
      <w:proofErr w:type="spellStart"/>
      <w:r>
        <w:rPr>
          <w:i/>
        </w:rPr>
        <w:t>Miner</w:t>
      </w:r>
      <w:proofErr w:type="spellEnd"/>
      <w:r>
        <w:rPr>
          <w:i/>
        </w:rPr>
        <w:t xml:space="preserve"> </w:t>
      </w:r>
      <w:proofErr w:type="spellStart"/>
      <w:r>
        <w:rPr>
          <w:i/>
        </w:rPr>
        <w:t>Res</w:t>
      </w:r>
      <w:proofErr w:type="spellEnd"/>
      <w:r>
        <w:t xml:space="preserve">. 2018;33(8):1383-1393. </w:t>
      </w:r>
      <w:r>
        <w:rPr>
          <w:spacing w:val="-2"/>
        </w:rPr>
        <w:t>doi:10.1002/jbmr.3475</w:t>
      </w:r>
    </w:p>
    <w:p w14:paraId="405238B4" w14:textId="77777777" w:rsidR="00861D40" w:rsidRDefault="00A31D89">
      <w:pPr>
        <w:pStyle w:val="ListParagraph"/>
        <w:numPr>
          <w:ilvl w:val="0"/>
          <w:numId w:val="1"/>
        </w:numPr>
        <w:tabs>
          <w:tab w:val="left" w:pos="782"/>
        </w:tabs>
        <w:spacing w:line="276" w:lineRule="auto"/>
        <w:ind w:right="297"/>
      </w:pPr>
      <w:proofErr w:type="spellStart"/>
      <w:r w:rsidRPr="00B44DEE">
        <w:t>Insogna</w:t>
      </w:r>
      <w:proofErr w:type="spellEnd"/>
      <w:r w:rsidRPr="00B44DEE">
        <w:rPr>
          <w:spacing w:val="-3"/>
        </w:rPr>
        <w:t xml:space="preserve"> </w:t>
      </w:r>
      <w:r w:rsidRPr="00B44DEE">
        <w:t>KL,</w:t>
      </w:r>
      <w:r w:rsidRPr="00B44DEE">
        <w:rPr>
          <w:spacing w:val="-3"/>
        </w:rPr>
        <w:t xml:space="preserve"> </w:t>
      </w:r>
      <w:proofErr w:type="spellStart"/>
      <w:r w:rsidRPr="00B44DEE">
        <w:t>Rauch</w:t>
      </w:r>
      <w:proofErr w:type="spellEnd"/>
      <w:r w:rsidRPr="00B44DEE">
        <w:rPr>
          <w:spacing w:val="-3"/>
        </w:rPr>
        <w:t xml:space="preserve"> </w:t>
      </w:r>
      <w:r w:rsidRPr="00B44DEE">
        <w:t>F,</w:t>
      </w:r>
      <w:r w:rsidRPr="00B44DEE">
        <w:rPr>
          <w:spacing w:val="-5"/>
        </w:rPr>
        <w:t xml:space="preserve"> </w:t>
      </w:r>
      <w:proofErr w:type="spellStart"/>
      <w:r w:rsidRPr="00B44DEE">
        <w:t>Kamenický</w:t>
      </w:r>
      <w:proofErr w:type="spellEnd"/>
      <w:r w:rsidRPr="00B44DEE">
        <w:rPr>
          <w:spacing w:val="-4"/>
        </w:rPr>
        <w:t xml:space="preserve"> </w:t>
      </w:r>
      <w:r w:rsidRPr="00B44DEE">
        <w:t>P,</w:t>
      </w:r>
      <w:r w:rsidRPr="00B44DEE">
        <w:rPr>
          <w:spacing w:val="-5"/>
        </w:rPr>
        <w:t xml:space="preserve"> </w:t>
      </w:r>
      <w:r w:rsidRPr="00B44DEE">
        <w:t>et</w:t>
      </w:r>
      <w:r w:rsidRPr="00B44DEE">
        <w:rPr>
          <w:spacing w:val="-2"/>
        </w:rPr>
        <w:t xml:space="preserve"> </w:t>
      </w:r>
      <w:r w:rsidRPr="00B44DEE">
        <w:t>al.</w:t>
      </w:r>
      <w:r w:rsidRPr="00B44DEE">
        <w:rPr>
          <w:spacing w:val="-4"/>
        </w:rPr>
        <w:t xml:space="preserve"> </w:t>
      </w:r>
      <w:proofErr w:type="spellStart"/>
      <w:r w:rsidRPr="000272AF">
        <w:rPr>
          <w:lang w:val="en-US"/>
        </w:rPr>
        <w:t>Burosumab</w:t>
      </w:r>
      <w:proofErr w:type="spellEnd"/>
      <w:r w:rsidRPr="000272AF">
        <w:rPr>
          <w:spacing w:val="-3"/>
          <w:lang w:val="en-US"/>
        </w:rPr>
        <w:t xml:space="preserve"> </w:t>
      </w:r>
      <w:r w:rsidRPr="000272AF">
        <w:rPr>
          <w:lang w:val="en-US"/>
        </w:rPr>
        <w:t>Improved</w:t>
      </w:r>
      <w:r w:rsidRPr="000272AF">
        <w:rPr>
          <w:spacing w:val="-3"/>
          <w:lang w:val="en-US"/>
        </w:rPr>
        <w:t xml:space="preserve"> </w:t>
      </w:r>
      <w:proofErr w:type="spellStart"/>
      <w:r w:rsidRPr="000272AF">
        <w:rPr>
          <w:lang w:val="en-US"/>
        </w:rPr>
        <w:t>Histomorphometric</w:t>
      </w:r>
      <w:proofErr w:type="spellEnd"/>
      <w:r w:rsidRPr="000272AF">
        <w:rPr>
          <w:spacing w:val="-2"/>
          <w:lang w:val="en-US"/>
        </w:rPr>
        <w:t xml:space="preserve"> </w:t>
      </w:r>
      <w:r w:rsidRPr="000272AF">
        <w:rPr>
          <w:lang w:val="en-US"/>
        </w:rPr>
        <w:t xml:space="preserve">Measures of Osteomalacia in Adults with X‐Linked Hypophosphatemia: A Phase 3, Single‐Arm, International Trial. </w:t>
      </w:r>
      <w:r>
        <w:rPr>
          <w:i/>
        </w:rPr>
        <w:t xml:space="preserve">J Bone </w:t>
      </w:r>
      <w:proofErr w:type="spellStart"/>
      <w:r>
        <w:rPr>
          <w:i/>
        </w:rPr>
        <w:t>Miner</w:t>
      </w:r>
      <w:proofErr w:type="spellEnd"/>
      <w:r>
        <w:rPr>
          <w:i/>
        </w:rPr>
        <w:t xml:space="preserve"> </w:t>
      </w:r>
      <w:proofErr w:type="spellStart"/>
      <w:r>
        <w:rPr>
          <w:i/>
        </w:rPr>
        <w:t>Res</w:t>
      </w:r>
      <w:proofErr w:type="spellEnd"/>
      <w:r>
        <w:t>. 2019;34(12):2183-2191. doi:10.1002/jbmr.3843</w:t>
      </w:r>
    </w:p>
    <w:p w14:paraId="2D561DBE" w14:textId="77777777" w:rsidR="00861D40" w:rsidRDefault="00A31D89">
      <w:pPr>
        <w:pStyle w:val="ListParagraph"/>
        <w:numPr>
          <w:ilvl w:val="0"/>
          <w:numId w:val="1"/>
        </w:numPr>
        <w:tabs>
          <w:tab w:val="left" w:pos="782"/>
        </w:tabs>
        <w:spacing w:line="276" w:lineRule="auto"/>
        <w:ind w:right="468"/>
      </w:pPr>
      <w:r w:rsidRPr="000272AF">
        <w:rPr>
          <w:lang w:val="en-US"/>
        </w:rPr>
        <w:t xml:space="preserve">Portale AA, Carpenter TO, Brandi ML, et al. Continued Beneficial Effects of </w:t>
      </w:r>
      <w:proofErr w:type="spellStart"/>
      <w:r w:rsidRPr="000272AF">
        <w:rPr>
          <w:lang w:val="en-US"/>
        </w:rPr>
        <w:t>Burosumab</w:t>
      </w:r>
      <w:proofErr w:type="spellEnd"/>
      <w:r w:rsidRPr="000272AF">
        <w:rPr>
          <w:lang w:val="en-US"/>
        </w:rPr>
        <w:t xml:space="preserve"> in Adults</w:t>
      </w:r>
      <w:r w:rsidRPr="000272AF">
        <w:rPr>
          <w:spacing w:val="-2"/>
          <w:lang w:val="en-US"/>
        </w:rPr>
        <w:t xml:space="preserve"> </w:t>
      </w:r>
      <w:r w:rsidRPr="000272AF">
        <w:rPr>
          <w:lang w:val="en-US"/>
        </w:rPr>
        <w:t>with</w:t>
      </w:r>
      <w:r w:rsidRPr="000272AF">
        <w:rPr>
          <w:spacing w:val="-5"/>
          <w:lang w:val="en-US"/>
        </w:rPr>
        <w:t xml:space="preserve"> </w:t>
      </w:r>
      <w:r w:rsidRPr="000272AF">
        <w:rPr>
          <w:lang w:val="en-US"/>
        </w:rPr>
        <w:t>X-Linked</w:t>
      </w:r>
      <w:r w:rsidRPr="000272AF">
        <w:rPr>
          <w:spacing w:val="-5"/>
          <w:lang w:val="en-US"/>
        </w:rPr>
        <w:t xml:space="preserve"> </w:t>
      </w:r>
      <w:r w:rsidRPr="000272AF">
        <w:rPr>
          <w:lang w:val="en-US"/>
        </w:rPr>
        <w:t>Hypophosphatemia:</w:t>
      </w:r>
      <w:r w:rsidRPr="000272AF">
        <w:rPr>
          <w:spacing w:val="-5"/>
          <w:lang w:val="en-US"/>
        </w:rPr>
        <w:t xml:space="preserve"> </w:t>
      </w:r>
      <w:r w:rsidRPr="000272AF">
        <w:rPr>
          <w:lang w:val="en-US"/>
        </w:rPr>
        <w:t>Results</w:t>
      </w:r>
      <w:r w:rsidRPr="000272AF">
        <w:rPr>
          <w:spacing w:val="-5"/>
          <w:lang w:val="en-US"/>
        </w:rPr>
        <w:t xml:space="preserve"> </w:t>
      </w:r>
      <w:r w:rsidRPr="000272AF">
        <w:rPr>
          <w:lang w:val="en-US"/>
        </w:rPr>
        <w:t>from</w:t>
      </w:r>
      <w:r w:rsidRPr="000272AF">
        <w:rPr>
          <w:spacing w:val="-1"/>
          <w:lang w:val="en-US"/>
        </w:rPr>
        <w:t xml:space="preserve"> </w:t>
      </w:r>
      <w:r w:rsidRPr="000272AF">
        <w:rPr>
          <w:lang w:val="en-US"/>
        </w:rPr>
        <w:t>a</w:t>
      </w:r>
      <w:r w:rsidRPr="000272AF">
        <w:rPr>
          <w:spacing w:val="-5"/>
          <w:lang w:val="en-US"/>
        </w:rPr>
        <w:t xml:space="preserve"> </w:t>
      </w:r>
      <w:r w:rsidRPr="000272AF">
        <w:rPr>
          <w:lang w:val="en-US"/>
        </w:rPr>
        <w:t>24-Week</w:t>
      </w:r>
      <w:r w:rsidRPr="000272AF">
        <w:rPr>
          <w:spacing w:val="-4"/>
          <w:lang w:val="en-US"/>
        </w:rPr>
        <w:t xml:space="preserve"> </w:t>
      </w:r>
      <w:r w:rsidRPr="000272AF">
        <w:rPr>
          <w:lang w:val="en-US"/>
        </w:rPr>
        <w:t>Treatment</w:t>
      </w:r>
      <w:r w:rsidRPr="000272AF">
        <w:rPr>
          <w:spacing w:val="-2"/>
          <w:lang w:val="en-US"/>
        </w:rPr>
        <w:t xml:space="preserve"> </w:t>
      </w:r>
      <w:r w:rsidRPr="000272AF">
        <w:rPr>
          <w:lang w:val="en-US"/>
        </w:rPr>
        <w:t xml:space="preserve">Continuation Period After a 24-Week Double-Blind Placebo-Controlled Period. </w:t>
      </w:r>
      <w:proofErr w:type="spellStart"/>
      <w:r>
        <w:rPr>
          <w:i/>
        </w:rPr>
        <w:t>Calcif</w:t>
      </w:r>
      <w:proofErr w:type="spellEnd"/>
      <w:r>
        <w:rPr>
          <w:i/>
        </w:rPr>
        <w:t xml:space="preserve"> Tissue Int</w:t>
      </w:r>
      <w:r>
        <w:t>. 2019;105(3):271-284. doi:10.1007/s00223-019-00568-3</w:t>
      </w:r>
    </w:p>
    <w:p w14:paraId="5BBFDF62" w14:textId="77777777" w:rsidR="00861D40" w:rsidRPr="00B44DEE" w:rsidRDefault="00A31D89">
      <w:pPr>
        <w:pStyle w:val="ListParagraph"/>
        <w:numPr>
          <w:ilvl w:val="0"/>
          <w:numId w:val="1"/>
        </w:numPr>
        <w:tabs>
          <w:tab w:val="left" w:pos="782"/>
        </w:tabs>
        <w:spacing w:before="1" w:line="276" w:lineRule="auto"/>
        <w:ind w:right="438"/>
        <w:rPr>
          <w:color w:val="202020"/>
        </w:rPr>
      </w:pPr>
      <w:proofErr w:type="spellStart"/>
      <w:r>
        <w:rPr>
          <w:color w:val="202020"/>
        </w:rPr>
        <w:t>Haffner</w:t>
      </w:r>
      <w:proofErr w:type="spellEnd"/>
      <w:r>
        <w:rPr>
          <w:color w:val="202020"/>
        </w:rPr>
        <w:t xml:space="preserve"> D, Emma F, Eastwood DM, </w:t>
      </w:r>
      <w:proofErr w:type="spellStart"/>
      <w:r>
        <w:rPr>
          <w:color w:val="202020"/>
        </w:rPr>
        <w:t>Duplan</w:t>
      </w:r>
      <w:proofErr w:type="spellEnd"/>
      <w:r>
        <w:rPr>
          <w:color w:val="202020"/>
        </w:rPr>
        <w:t xml:space="preserve"> MB, </w:t>
      </w:r>
      <w:proofErr w:type="spellStart"/>
      <w:r>
        <w:rPr>
          <w:color w:val="202020"/>
        </w:rPr>
        <w:t>Bacchetta</w:t>
      </w:r>
      <w:proofErr w:type="spellEnd"/>
      <w:r>
        <w:rPr>
          <w:color w:val="202020"/>
        </w:rPr>
        <w:t xml:space="preserve"> J, </w:t>
      </w:r>
      <w:proofErr w:type="spellStart"/>
      <w:r>
        <w:rPr>
          <w:color w:val="202020"/>
        </w:rPr>
        <w:t>Schnabel</w:t>
      </w:r>
      <w:proofErr w:type="spellEnd"/>
      <w:r>
        <w:rPr>
          <w:color w:val="202020"/>
        </w:rPr>
        <w:t xml:space="preserve"> D, </w:t>
      </w:r>
      <w:proofErr w:type="spellStart"/>
      <w:r>
        <w:rPr>
          <w:color w:val="202020"/>
        </w:rPr>
        <w:t>Wicart</w:t>
      </w:r>
      <w:proofErr w:type="spellEnd"/>
      <w:r>
        <w:rPr>
          <w:color w:val="202020"/>
        </w:rPr>
        <w:t xml:space="preserve"> P, </w:t>
      </w:r>
      <w:proofErr w:type="spellStart"/>
      <w:r>
        <w:rPr>
          <w:color w:val="202020"/>
        </w:rPr>
        <w:t>Bockenhauer</w:t>
      </w:r>
      <w:proofErr w:type="spellEnd"/>
      <w:r>
        <w:rPr>
          <w:color w:val="202020"/>
        </w:rPr>
        <w:t xml:space="preserve"> D, Santos F, </w:t>
      </w:r>
      <w:proofErr w:type="spellStart"/>
      <w:r>
        <w:rPr>
          <w:color w:val="202020"/>
        </w:rPr>
        <w:t>Levtchenko</w:t>
      </w:r>
      <w:proofErr w:type="spellEnd"/>
      <w:r>
        <w:rPr>
          <w:color w:val="202020"/>
        </w:rPr>
        <w:t xml:space="preserve"> E, </w:t>
      </w:r>
      <w:proofErr w:type="spellStart"/>
      <w:r>
        <w:rPr>
          <w:color w:val="202020"/>
        </w:rPr>
        <w:t>Harvengt</w:t>
      </w:r>
      <w:proofErr w:type="spellEnd"/>
      <w:r>
        <w:rPr>
          <w:color w:val="202020"/>
        </w:rPr>
        <w:t xml:space="preserve"> P, </w:t>
      </w:r>
      <w:proofErr w:type="spellStart"/>
      <w:r>
        <w:rPr>
          <w:color w:val="202020"/>
        </w:rPr>
        <w:t>Kirchhoff</w:t>
      </w:r>
      <w:proofErr w:type="spellEnd"/>
      <w:r>
        <w:rPr>
          <w:color w:val="202020"/>
        </w:rPr>
        <w:t xml:space="preserve"> M, Di Rocco F, </w:t>
      </w:r>
      <w:proofErr w:type="spellStart"/>
      <w:r>
        <w:rPr>
          <w:color w:val="202020"/>
        </w:rPr>
        <w:t>Chaussain</w:t>
      </w:r>
      <w:proofErr w:type="spellEnd"/>
      <w:r>
        <w:rPr>
          <w:color w:val="202020"/>
        </w:rPr>
        <w:t xml:space="preserve"> C, </w:t>
      </w:r>
      <w:proofErr w:type="spellStart"/>
      <w:r>
        <w:rPr>
          <w:color w:val="202020"/>
        </w:rPr>
        <w:t>Brandi</w:t>
      </w:r>
      <w:proofErr w:type="spellEnd"/>
      <w:r>
        <w:rPr>
          <w:color w:val="202020"/>
        </w:rPr>
        <w:t xml:space="preserve"> ML, </w:t>
      </w:r>
      <w:proofErr w:type="spellStart"/>
      <w:r>
        <w:rPr>
          <w:color w:val="202020"/>
        </w:rPr>
        <w:t>Savendahl</w:t>
      </w:r>
      <w:proofErr w:type="spellEnd"/>
      <w:r>
        <w:rPr>
          <w:color w:val="202020"/>
        </w:rPr>
        <w:t xml:space="preserve"> L, </w:t>
      </w:r>
      <w:proofErr w:type="spellStart"/>
      <w:r>
        <w:rPr>
          <w:color w:val="202020"/>
        </w:rPr>
        <w:t>Briot</w:t>
      </w:r>
      <w:proofErr w:type="spellEnd"/>
      <w:r>
        <w:rPr>
          <w:color w:val="202020"/>
        </w:rPr>
        <w:t xml:space="preserve"> K, </w:t>
      </w:r>
      <w:proofErr w:type="spellStart"/>
      <w:r>
        <w:rPr>
          <w:color w:val="202020"/>
        </w:rPr>
        <w:t>Kamenicky</w:t>
      </w:r>
      <w:proofErr w:type="spellEnd"/>
      <w:r>
        <w:rPr>
          <w:color w:val="202020"/>
        </w:rPr>
        <w:t xml:space="preserve"> P, Rejnmark L, </w:t>
      </w:r>
      <w:proofErr w:type="spellStart"/>
      <w:r>
        <w:rPr>
          <w:color w:val="202020"/>
        </w:rPr>
        <w:t>Linglart</w:t>
      </w:r>
      <w:proofErr w:type="spellEnd"/>
      <w:r>
        <w:rPr>
          <w:color w:val="202020"/>
        </w:rPr>
        <w:t xml:space="preserve"> A. </w:t>
      </w:r>
      <w:proofErr w:type="spellStart"/>
      <w:r>
        <w:rPr>
          <w:color w:val="202020"/>
        </w:rPr>
        <w:t>Clinical</w:t>
      </w:r>
      <w:proofErr w:type="spellEnd"/>
      <w:r>
        <w:rPr>
          <w:color w:val="202020"/>
        </w:rPr>
        <w:t xml:space="preserve"> </w:t>
      </w:r>
      <w:proofErr w:type="spellStart"/>
      <w:r>
        <w:rPr>
          <w:color w:val="202020"/>
        </w:rPr>
        <w:t>practice</w:t>
      </w:r>
      <w:proofErr w:type="spellEnd"/>
      <w:r>
        <w:rPr>
          <w:color w:val="202020"/>
        </w:rPr>
        <w:t xml:space="preserve"> </w:t>
      </w:r>
      <w:proofErr w:type="spellStart"/>
      <w:r>
        <w:rPr>
          <w:color w:val="202020"/>
        </w:rPr>
        <w:t>recommendations</w:t>
      </w:r>
      <w:proofErr w:type="spellEnd"/>
      <w:r>
        <w:rPr>
          <w:color w:val="202020"/>
          <w:spacing w:val="-3"/>
        </w:rPr>
        <w:t xml:space="preserve"> </w:t>
      </w:r>
      <w:proofErr w:type="spellStart"/>
      <w:r>
        <w:rPr>
          <w:color w:val="202020"/>
        </w:rPr>
        <w:t>for</w:t>
      </w:r>
      <w:proofErr w:type="spellEnd"/>
      <w:r>
        <w:rPr>
          <w:color w:val="202020"/>
          <w:spacing w:val="-3"/>
        </w:rPr>
        <w:t xml:space="preserve"> </w:t>
      </w:r>
      <w:proofErr w:type="spellStart"/>
      <w:r>
        <w:rPr>
          <w:color w:val="202020"/>
        </w:rPr>
        <w:t>the</w:t>
      </w:r>
      <w:proofErr w:type="spellEnd"/>
      <w:r>
        <w:rPr>
          <w:color w:val="202020"/>
          <w:spacing w:val="-5"/>
        </w:rPr>
        <w:t xml:space="preserve"> </w:t>
      </w:r>
      <w:r>
        <w:rPr>
          <w:color w:val="202020"/>
        </w:rPr>
        <w:t>diagnosis</w:t>
      </w:r>
      <w:r>
        <w:rPr>
          <w:color w:val="202020"/>
          <w:spacing w:val="-4"/>
        </w:rPr>
        <w:t xml:space="preserve"> </w:t>
      </w:r>
      <w:proofErr w:type="spellStart"/>
      <w:r>
        <w:rPr>
          <w:color w:val="202020"/>
        </w:rPr>
        <w:t>and</w:t>
      </w:r>
      <w:proofErr w:type="spellEnd"/>
      <w:r>
        <w:rPr>
          <w:color w:val="202020"/>
          <w:spacing w:val="-6"/>
        </w:rPr>
        <w:t xml:space="preserve"> </w:t>
      </w:r>
      <w:r>
        <w:rPr>
          <w:color w:val="202020"/>
        </w:rPr>
        <w:t>management</w:t>
      </w:r>
      <w:r>
        <w:rPr>
          <w:color w:val="202020"/>
          <w:spacing w:val="-5"/>
        </w:rPr>
        <w:t xml:space="preserve"> </w:t>
      </w:r>
      <w:r>
        <w:rPr>
          <w:color w:val="202020"/>
        </w:rPr>
        <w:t>of</w:t>
      </w:r>
      <w:r>
        <w:rPr>
          <w:color w:val="202020"/>
          <w:spacing w:val="-5"/>
        </w:rPr>
        <w:t xml:space="preserve"> </w:t>
      </w:r>
      <w:r>
        <w:rPr>
          <w:color w:val="202020"/>
        </w:rPr>
        <w:t>X-</w:t>
      </w:r>
      <w:proofErr w:type="spellStart"/>
      <w:r>
        <w:rPr>
          <w:color w:val="202020"/>
        </w:rPr>
        <w:t>linked</w:t>
      </w:r>
      <w:proofErr w:type="spellEnd"/>
      <w:r>
        <w:rPr>
          <w:color w:val="202020"/>
          <w:spacing w:val="-5"/>
        </w:rPr>
        <w:t xml:space="preserve"> </w:t>
      </w:r>
      <w:proofErr w:type="spellStart"/>
      <w:r>
        <w:rPr>
          <w:color w:val="202020"/>
        </w:rPr>
        <w:t>hypophosphataemia</w:t>
      </w:r>
      <w:proofErr w:type="spellEnd"/>
      <w:r>
        <w:rPr>
          <w:color w:val="202020"/>
        </w:rPr>
        <w:t>.</w:t>
      </w:r>
      <w:r>
        <w:rPr>
          <w:color w:val="202020"/>
          <w:spacing w:val="-3"/>
        </w:rPr>
        <w:t xml:space="preserve"> </w:t>
      </w:r>
      <w:r>
        <w:rPr>
          <w:i/>
          <w:color w:val="202020"/>
        </w:rPr>
        <w:t xml:space="preserve">Nat </w:t>
      </w:r>
      <w:proofErr w:type="spellStart"/>
      <w:r>
        <w:rPr>
          <w:i/>
          <w:color w:val="202020"/>
        </w:rPr>
        <w:t>Rev</w:t>
      </w:r>
      <w:proofErr w:type="spellEnd"/>
      <w:r>
        <w:rPr>
          <w:i/>
          <w:color w:val="202020"/>
        </w:rPr>
        <w:t xml:space="preserve"> </w:t>
      </w:r>
      <w:proofErr w:type="spellStart"/>
      <w:r>
        <w:rPr>
          <w:i/>
          <w:color w:val="202020"/>
        </w:rPr>
        <w:t>Nephrol</w:t>
      </w:r>
      <w:proofErr w:type="spellEnd"/>
      <w:r>
        <w:rPr>
          <w:i/>
          <w:color w:val="202020"/>
        </w:rPr>
        <w:t xml:space="preserve"> </w:t>
      </w:r>
      <w:r>
        <w:rPr>
          <w:color w:val="202020"/>
        </w:rPr>
        <w:t>2019;15(7):435-455.</w:t>
      </w:r>
    </w:p>
    <w:p w14:paraId="5296147F" w14:textId="02053865" w:rsidR="00413D40" w:rsidRDefault="00413D40">
      <w:pPr>
        <w:pStyle w:val="ListParagraph"/>
        <w:numPr>
          <w:ilvl w:val="0"/>
          <w:numId w:val="1"/>
        </w:numPr>
        <w:tabs>
          <w:tab w:val="left" w:pos="782"/>
        </w:tabs>
        <w:spacing w:before="1" w:line="276" w:lineRule="auto"/>
        <w:ind w:right="438"/>
      </w:pPr>
      <w:proofErr w:type="spellStart"/>
      <w:r w:rsidRPr="003A7B37">
        <w:t>Haffner</w:t>
      </w:r>
      <w:proofErr w:type="spellEnd"/>
      <w:r w:rsidRPr="003A7B37">
        <w:t xml:space="preserve"> D</w:t>
      </w:r>
      <w:r w:rsidR="00E1795A" w:rsidRPr="003A7B37">
        <w:t xml:space="preserve">, Emma F, </w:t>
      </w:r>
      <w:proofErr w:type="spellStart"/>
      <w:r w:rsidR="00680E0B" w:rsidRPr="003A7B37">
        <w:t>Seefried</w:t>
      </w:r>
      <w:proofErr w:type="spellEnd"/>
      <w:r w:rsidR="00680E0B" w:rsidRPr="003A7B37">
        <w:t xml:space="preserve"> L, </w:t>
      </w:r>
      <w:proofErr w:type="spellStart"/>
      <w:r w:rsidR="00680E0B" w:rsidRPr="003A7B37">
        <w:t>Högler</w:t>
      </w:r>
      <w:proofErr w:type="spellEnd"/>
      <w:r w:rsidR="00680E0B" w:rsidRPr="003A7B37">
        <w:t xml:space="preserve"> W, Javaid KM, </w:t>
      </w:r>
      <w:proofErr w:type="spellStart"/>
      <w:r w:rsidR="00680E0B" w:rsidRPr="003A7B37">
        <w:t>Bockenhauer</w:t>
      </w:r>
      <w:proofErr w:type="spellEnd"/>
      <w:r w:rsidR="00680E0B" w:rsidRPr="003A7B37">
        <w:t xml:space="preserve"> D, </w:t>
      </w:r>
      <w:proofErr w:type="spellStart"/>
      <w:r w:rsidR="00680E0B" w:rsidRPr="003A7B37">
        <w:t>Bacchetta</w:t>
      </w:r>
      <w:proofErr w:type="spellEnd"/>
      <w:r w:rsidR="00680E0B" w:rsidRPr="003A7B37">
        <w:t xml:space="preserve"> J, Eastwood D, </w:t>
      </w:r>
      <w:proofErr w:type="spellStart"/>
      <w:r w:rsidR="00680E0B" w:rsidRPr="003A7B37">
        <w:t>Duplan</w:t>
      </w:r>
      <w:proofErr w:type="spellEnd"/>
      <w:r w:rsidR="00680E0B" w:rsidRPr="003A7B37">
        <w:t xml:space="preserve"> MB, </w:t>
      </w:r>
      <w:proofErr w:type="spellStart"/>
      <w:r w:rsidR="00680E0B" w:rsidRPr="003A7B37">
        <w:t>Schnabel</w:t>
      </w:r>
      <w:proofErr w:type="spellEnd"/>
      <w:r w:rsidR="00680E0B" w:rsidRPr="003A7B37">
        <w:t xml:space="preserve"> D, </w:t>
      </w:r>
      <w:proofErr w:type="spellStart"/>
      <w:r w:rsidR="00680E0B" w:rsidRPr="003A7B37">
        <w:t>Wicart</w:t>
      </w:r>
      <w:proofErr w:type="spellEnd"/>
      <w:r w:rsidR="00680E0B" w:rsidRPr="003A7B37">
        <w:t xml:space="preserve"> P, </w:t>
      </w:r>
      <w:proofErr w:type="spellStart"/>
      <w:r w:rsidR="00680E0B" w:rsidRPr="003A7B37">
        <w:t>Ariceta</w:t>
      </w:r>
      <w:proofErr w:type="spellEnd"/>
      <w:r w:rsidR="00680E0B" w:rsidRPr="003A7B37">
        <w:t xml:space="preserve"> G, </w:t>
      </w:r>
      <w:proofErr w:type="spellStart"/>
      <w:r w:rsidR="00680E0B" w:rsidRPr="003A7B37">
        <w:t>Levtchenko</w:t>
      </w:r>
      <w:proofErr w:type="spellEnd"/>
      <w:r w:rsidR="00680E0B" w:rsidRPr="003A7B37">
        <w:t xml:space="preserve"> E, </w:t>
      </w:r>
      <w:proofErr w:type="spellStart"/>
      <w:r w:rsidR="00680E0B" w:rsidRPr="003A7B37">
        <w:t>Harvengt</w:t>
      </w:r>
      <w:proofErr w:type="spellEnd"/>
      <w:r w:rsidR="00680E0B" w:rsidRPr="003A7B37">
        <w:t xml:space="preserve"> P, </w:t>
      </w:r>
      <w:proofErr w:type="spellStart"/>
      <w:r w:rsidR="00680E0B" w:rsidRPr="003A7B37">
        <w:t>Kirch</w:t>
      </w:r>
      <w:r w:rsidR="00097357" w:rsidRPr="003A7B37">
        <w:t>hoff</w:t>
      </w:r>
      <w:proofErr w:type="spellEnd"/>
      <w:r w:rsidR="00097357" w:rsidRPr="003A7B37">
        <w:t xml:space="preserve"> M. </w:t>
      </w:r>
      <w:proofErr w:type="spellStart"/>
      <w:r w:rsidR="00097357" w:rsidRPr="003A7B37">
        <w:t>Gardiner</w:t>
      </w:r>
      <w:proofErr w:type="spellEnd"/>
      <w:r w:rsidR="00097357" w:rsidRPr="003A7B37">
        <w:t xml:space="preserve"> O, di Rocco F, </w:t>
      </w:r>
      <w:proofErr w:type="spellStart"/>
      <w:r w:rsidR="00097357" w:rsidRPr="003A7B37">
        <w:t>Chaussain</w:t>
      </w:r>
      <w:proofErr w:type="spellEnd"/>
      <w:r w:rsidR="00097357" w:rsidRPr="003A7B37">
        <w:t xml:space="preserve"> C, </w:t>
      </w:r>
      <w:proofErr w:type="spellStart"/>
      <w:r w:rsidR="00097357" w:rsidRPr="003A7B37">
        <w:t>Brandi</w:t>
      </w:r>
      <w:proofErr w:type="spellEnd"/>
      <w:r w:rsidR="00097357" w:rsidRPr="003A7B37">
        <w:t xml:space="preserve"> ML, </w:t>
      </w:r>
      <w:proofErr w:type="spellStart"/>
      <w:r w:rsidR="00097357" w:rsidRPr="003A7B37">
        <w:t>Savendahl</w:t>
      </w:r>
      <w:proofErr w:type="spellEnd"/>
      <w:r w:rsidR="00097357" w:rsidRPr="003A7B37">
        <w:t xml:space="preserve"> L, </w:t>
      </w:r>
      <w:proofErr w:type="spellStart"/>
      <w:r w:rsidR="00097357" w:rsidRPr="003A7B37">
        <w:t>Briot</w:t>
      </w:r>
      <w:proofErr w:type="spellEnd"/>
      <w:r w:rsidR="00097357" w:rsidRPr="003A7B37">
        <w:t xml:space="preserve"> K, </w:t>
      </w:r>
      <w:proofErr w:type="spellStart"/>
      <w:r w:rsidR="00097357" w:rsidRPr="003A7B37">
        <w:t>Kamenicky</w:t>
      </w:r>
      <w:proofErr w:type="spellEnd"/>
      <w:r w:rsidR="00097357" w:rsidRPr="003A7B37">
        <w:t xml:space="preserve"> P, </w:t>
      </w:r>
      <w:proofErr w:type="spellStart"/>
      <w:r w:rsidR="00097357" w:rsidRPr="003A7B37">
        <w:t>Reijnmark</w:t>
      </w:r>
      <w:proofErr w:type="spellEnd"/>
      <w:r w:rsidR="00097357" w:rsidRPr="003A7B37">
        <w:t xml:space="preserve"> L, </w:t>
      </w:r>
      <w:proofErr w:type="spellStart"/>
      <w:r w:rsidR="00097357" w:rsidRPr="003A7B37">
        <w:t>Linglart</w:t>
      </w:r>
      <w:proofErr w:type="spellEnd"/>
      <w:r w:rsidR="00561A78" w:rsidRPr="003A7B37">
        <w:t xml:space="preserve"> A. </w:t>
      </w:r>
      <w:proofErr w:type="spellStart"/>
      <w:r w:rsidRPr="003A7B37">
        <w:t>Clinical</w:t>
      </w:r>
      <w:proofErr w:type="spellEnd"/>
      <w:r w:rsidRPr="003A7B37">
        <w:t xml:space="preserve"> </w:t>
      </w:r>
      <w:proofErr w:type="spellStart"/>
      <w:r w:rsidRPr="003A7B37">
        <w:t>practice</w:t>
      </w:r>
      <w:proofErr w:type="spellEnd"/>
      <w:r w:rsidRPr="003A7B37">
        <w:t xml:space="preserve"> </w:t>
      </w:r>
      <w:proofErr w:type="spellStart"/>
      <w:r w:rsidRPr="003A7B37">
        <w:t>recommendations</w:t>
      </w:r>
      <w:proofErr w:type="spellEnd"/>
      <w:r w:rsidRPr="003A7B37">
        <w:t xml:space="preserve"> </w:t>
      </w:r>
      <w:proofErr w:type="spellStart"/>
      <w:r w:rsidRPr="003A7B37">
        <w:t>for</w:t>
      </w:r>
      <w:proofErr w:type="spellEnd"/>
      <w:r w:rsidRPr="003A7B37">
        <w:t xml:space="preserve"> </w:t>
      </w:r>
      <w:proofErr w:type="spellStart"/>
      <w:r w:rsidRPr="003A7B37">
        <w:t>the</w:t>
      </w:r>
      <w:proofErr w:type="spellEnd"/>
      <w:r w:rsidRPr="003A7B37">
        <w:t xml:space="preserve"> diagnosis </w:t>
      </w:r>
      <w:proofErr w:type="spellStart"/>
      <w:r w:rsidRPr="003A7B37">
        <w:t>and</w:t>
      </w:r>
      <w:proofErr w:type="spellEnd"/>
      <w:r w:rsidRPr="003A7B37">
        <w:t xml:space="preserve"> management of X-</w:t>
      </w:r>
      <w:proofErr w:type="spellStart"/>
      <w:r w:rsidRPr="003A7B37">
        <w:t>linked</w:t>
      </w:r>
      <w:proofErr w:type="spellEnd"/>
      <w:r w:rsidRPr="003A7B37">
        <w:t xml:space="preserve"> </w:t>
      </w:r>
      <w:proofErr w:type="spellStart"/>
      <w:r w:rsidRPr="003A7B37">
        <w:t>hypophosphataemia</w:t>
      </w:r>
      <w:proofErr w:type="spellEnd"/>
      <w:r w:rsidRPr="003A7B37">
        <w:t xml:space="preserve">. </w:t>
      </w:r>
      <w:r w:rsidRPr="00413D40">
        <w:rPr>
          <w:lang w:val="en-US"/>
        </w:rPr>
        <w:t>Nat Rev Nephrol 2025 May;21(5):330-354</w:t>
      </w:r>
    </w:p>
    <w:sectPr w:rsidR="00413D40">
      <w:footerReference w:type="default" r:id="rId7"/>
      <w:pgSz w:w="11900" w:h="16850"/>
      <w:pgMar w:top="1380" w:right="1275" w:bottom="1220" w:left="1275" w:header="0" w:footer="10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5407" w14:textId="77777777" w:rsidR="00D26A35" w:rsidRDefault="00D26A35">
      <w:r>
        <w:separator/>
      </w:r>
    </w:p>
  </w:endnote>
  <w:endnote w:type="continuationSeparator" w:id="0">
    <w:p w14:paraId="4877171E" w14:textId="77777777" w:rsidR="00D26A35" w:rsidRDefault="00D2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00A9" w14:textId="77777777" w:rsidR="00861D40" w:rsidRDefault="00A31D89">
    <w:pPr>
      <w:pStyle w:val="BodyText"/>
      <w:spacing w:line="14" w:lineRule="auto"/>
      <w:ind w:left="0"/>
      <w:rPr>
        <w:sz w:val="20"/>
      </w:rPr>
    </w:pPr>
    <w:r>
      <w:rPr>
        <w:noProof/>
        <w:sz w:val="20"/>
      </w:rPr>
      <mc:AlternateContent>
        <mc:Choice Requires="wps">
          <w:drawing>
            <wp:anchor distT="0" distB="0" distL="0" distR="0" simplePos="0" relativeHeight="487500288" behindDoc="1" locked="0" layoutInCell="1" allowOverlap="1" wp14:anchorId="66B05BE3" wp14:editId="16C1F387">
              <wp:simplePos x="0" y="0"/>
              <wp:positionH relativeFrom="page">
                <wp:posOffset>3703954</wp:posOffset>
              </wp:positionH>
              <wp:positionV relativeFrom="page">
                <wp:posOffset>9899091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9A83047" w14:textId="77777777" w:rsidR="00861D40" w:rsidRDefault="00A31D8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B05BE3" id="_x0000_t202" coordsize="21600,21600" o:spt="202" path="m,l,21600r21600,l21600,xe">
              <v:stroke joinstyle="miter"/>
              <v:path gradientshapeok="t" o:connecttype="rect"/>
            </v:shapetype>
            <v:shape id="Textbox 1" o:spid="_x0000_s1026" type="#_x0000_t202" style="position:absolute;margin-left:291.65pt;margin-top:779.45pt;width:12.6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" filled="f" stroked="f">
              <v:textbox inset="0,0,0,0">
                <w:txbxContent>
                  <w:p w14:paraId="29A83047" w14:textId="77777777" w:rsidR="00861D40" w:rsidRDefault="00A31D89">
                    <w:pPr>
                      <w:pStyle w:val="Platteteks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8326" w14:textId="77777777" w:rsidR="00D26A35" w:rsidRDefault="00D26A35">
      <w:r>
        <w:separator/>
      </w:r>
    </w:p>
  </w:footnote>
  <w:footnote w:type="continuationSeparator" w:id="0">
    <w:p w14:paraId="0A32B7FB" w14:textId="77777777" w:rsidR="00D26A35" w:rsidRDefault="00D2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18A"/>
    <w:multiLevelType w:val="multilevel"/>
    <w:tmpl w:val="D12C08C6"/>
    <w:lvl w:ilvl="0">
      <w:start w:val="1"/>
      <w:numFmt w:val="upperRoman"/>
      <w:lvlText w:val="%1"/>
      <w:lvlJc w:val="left"/>
      <w:pPr>
        <w:ind w:left="662" w:hanging="521"/>
      </w:pPr>
      <w:rPr>
        <w:rFonts w:hint="default"/>
        <w:lang w:val="nl-NL" w:eastAsia="en-US" w:bidi="ar-SA"/>
      </w:rPr>
    </w:lvl>
    <w:lvl w:ilvl="1">
      <w:start w:val="1"/>
      <w:numFmt w:val="decimal"/>
      <w:lvlText w:val="%1.%2"/>
      <w:lvlJc w:val="left"/>
      <w:pPr>
        <w:ind w:left="662" w:hanging="521"/>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397" w:hanging="521"/>
      </w:pPr>
      <w:rPr>
        <w:rFonts w:hint="default"/>
        <w:lang w:val="nl-NL" w:eastAsia="en-US" w:bidi="ar-SA"/>
      </w:rPr>
    </w:lvl>
    <w:lvl w:ilvl="3">
      <w:numFmt w:val="bullet"/>
      <w:lvlText w:val="•"/>
      <w:lvlJc w:val="left"/>
      <w:pPr>
        <w:ind w:left="3266" w:hanging="521"/>
      </w:pPr>
      <w:rPr>
        <w:rFonts w:hint="default"/>
        <w:lang w:val="nl-NL" w:eastAsia="en-US" w:bidi="ar-SA"/>
      </w:rPr>
    </w:lvl>
    <w:lvl w:ilvl="4">
      <w:numFmt w:val="bullet"/>
      <w:lvlText w:val="•"/>
      <w:lvlJc w:val="left"/>
      <w:pPr>
        <w:ind w:left="4135" w:hanging="521"/>
      </w:pPr>
      <w:rPr>
        <w:rFonts w:hint="default"/>
        <w:lang w:val="nl-NL" w:eastAsia="en-US" w:bidi="ar-SA"/>
      </w:rPr>
    </w:lvl>
    <w:lvl w:ilvl="5">
      <w:numFmt w:val="bullet"/>
      <w:lvlText w:val="•"/>
      <w:lvlJc w:val="left"/>
      <w:pPr>
        <w:ind w:left="5004" w:hanging="521"/>
      </w:pPr>
      <w:rPr>
        <w:rFonts w:hint="default"/>
        <w:lang w:val="nl-NL" w:eastAsia="en-US" w:bidi="ar-SA"/>
      </w:rPr>
    </w:lvl>
    <w:lvl w:ilvl="6">
      <w:numFmt w:val="bullet"/>
      <w:lvlText w:val="•"/>
      <w:lvlJc w:val="left"/>
      <w:pPr>
        <w:ind w:left="5873" w:hanging="521"/>
      </w:pPr>
      <w:rPr>
        <w:rFonts w:hint="default"/>
        <w:lang w:val="nl-NL" w:eastAsia="en-US" w:bidi="ar-SA"/>
      </w:rPr>
    </w:lvl>
    <w:lvl w:ilvl="7">
      <w:numFmt w:val="bullet"/>
      <w:lvlText w:val="•"/>
      <w:lvlJc w:val="left"/>
      <w:pPr>
        <w:ind w:left="6742" w:hanging="521"/>
      </w:pPr>
      <w:rPr>
        <w:rFonts w:hint="default"/>
        <w:lang w:val="nl-NL" w:eastAsia="en-US" w:bidi="ar-SA"/>
      </w:rPr>
    </w:lvl>
    <w:lvl w:ilvl="8">
      <w:numFmt w:val="bullet"/>
      <w:lvlText w:val="•"/>
      <w:lvlJc w:val="left"/>
      <w:pPr>
        <w:ind w:left="7611" w:hanging="521"/>
      </w:pPr>
      <w:rPr>
        <w:rFonts w:hint="default"/>
        <w:lang w:val="nl-NL" w:eastAsia="en-US" w:bidi="ar-SA"/>
      </w:rPr>
    </w:lvl>
  </w:abstractNum>
  <w:abstractNum w:abstractNumId="1" w15:restartNumberingAfterBreak="0">
    <w:nsid w:val="22572508"/>
    <w:multiLevelType w:val="multilevel"/>
    <w:tmpl w:val="9F5C3A00"/>
    <w:lvl w:ilvl="0">
      <w:start w:val="1"/>
      <w:numFmt w:val="decimal"/>
      <w:lvlText w:val="%1."/>
      <w:lvlJc w:val="left"/>
      <w:pPr>
        <w:ind w:left="362" w:hanging="221"/>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472" w:hanging="332"/>
      </w:pPr>
      <w:rPr>
        <w:rFonts w:ascii="Calibri" w:eastAsia="Calibri" w:hAnsi="Calibri" w:cs="Calibri" w:hint="default"/>
        <w:b w:val="0"/>
        <w:bCs w:val="0"/>
        <w:i w:val="0"/>
        <w:iCs w:val="0"/>
        <w:spacing w:val="0"/>
        <w:w w:val="92"/>
        <w:sz w:val="22"/>
        <w:szCs w:val="22"/>
        <w:u w:val="single" w:color="000000"/>
        <w:lang w:val="nl-NL" w:eastAsia="en-US" w:bidi="ar-SA"/>
      </w:rPr>
    </w:lvl>
    <w:lvl w:ilvl="2">
      <w:numFmt w:val="bullet"/>
      <w:lvlText w:val="•"/>
      <w:lvlJc w:val="left"/>
      <w:pPr>
        <w:ind w:left="1465" w:hanging="332"/>
      </w:pPr>
      <w:rPr>
        <w:rFonts w:hint="default"/>
        <w:lang w:val="nl-NL" w:eastAsia="en-US" w:bidi="ar-SA"/>
      </w:rPr>
    </w:lvl>
    <w:lvl w:ilvl="3">
      <w:numFmt w:val="bullet"/>
      <w:lvlText w:val="•"/>
      <w:lvlJc w:val="left"/>
      <w:pPr>
        <w:ind w:left="2450" w:hanging="332"/>
      </w:pPr>
      <w:rPr>
        <w:rFonts w:hint="default"/>
        <w:lang w:val="nl-NL" w:eastAsia="en-US" w:bidi="ar-SA"/>
      </w:rPr>
    </w:lvl>
    <w:lvl w:ilvl="4">
      <w:numFmt w:val="bullet"/>
      <w:lvlText w:val="•"/>
      <w:lvlJc w:val="left"/>
      <w:pPr>
        <w:ind w:left="3436" w:hanging="332"/>
      </w:pPr>
      <w:rPr>
        <w:rFonts w:hint="default"/>
        <w:lang w:val="nl-NL" w:eastAsia="en-US" w:bidi="ar-SA"/>
      </w:rPr>
    </w:lvl>
    <w:lvl w:ilvl="5">
      <w:numFmt w:val="bullet"/>
      <w:lvlText w:val="•"/>
      <w:lvlJc w:val="left"/>
      <w:pPr>
        <w:ind w:left="4421" w:hanging="332"/>
      </w:pPr>
      <w:rPr>
        <w:rFonts w:hint="default"/>
        <w:lang w:val="nl-NL" w:eastAsia="en-US" w:bidi="ar-SA"/>
      </w:rPr>
    </w:lvl>
    <w:lvl w:ilvl="6">
      <w:numFmt w:val="bullet"/>
      <w:lvlText w:val="•"/>
      <w:lvlJc w:val="left"/>
      <w:pPr>
        <w:ind w:left="5407" w:hanging="332"/>
      </w:pPr>
      <w:rPr>
        <w:rFonts w:hint="default"/>
        <w:lang w:val="nl-NL" w:eastAsia="en-US" w:bidi="ar-SA"/>
      </w:rPr>
    </w:lvl>
    <w:lvl w:ilvl="7">
      <w:numFmt w:val="bullet"/>
      <w:lvlText w:val="•"/>
      <w:lvlJc w:val="left"/>
      <w:pPr>
        <w:ind w:left="6392" w:hanging="332"/>
      </w:pPr>
      <w:rPr>
        <w:rFonts w:hint="default"/>
        <w:lang w:val="nl-NL" w:eastAsia="en-US" w:bidi="ar-SA"/>
      </w:rPr>
    </w:lvl>
    <w:lvl w:ilvl="8">
      <w:numFmt w:val="bullet"/>
      <w:lvlText w:val="•"/>
      <w:lvlJc w:val="left"/>
      <w:pPr>
        <w:ind w:left="7378" w:hanging="332"/>
      </w:pPr>
      <w:rPr>
        <w:rFonts w:hint="default"/>
        <w:lang w:val="nl-NL" w:eastAsia="en-US" w:bidi="ar-SA"/>
      </w:rPr>
    </w:lvl>
  </w:abstractNum>
  <w:abstractNum w:abstractNumId="2" w15:restartNumberingAfterBreak="0">
    <w:nsid w:val="325B7BD1"/>
    <w:multiLevelType w:val="multilevel"/>
    <w:tmpl w:val="B610FD62"/>
    <w:lvl w:ilvl="0">
      <w:start w:val="2"/>
      <w:numFmt w:val="upperRoman"/>
      <w:lvlText w:val="%1."/>
      <w:lvlJc w:val="left"/>
      <w:pPr>
        <w:ind w:left="357" w:hanging="216"/>
      </w:pPr>
      <w:rPr>
        <w:rFonts w:ascii="Calibri" w:eastAsia="Calibri" w:hAnsi="Calibri" w:cs="Calibri" w:hint="default"/>
        <w:b w:val="0"/>
        <w:bCs w:val="0"/>
        <w:i/>
        <w:iCs/>
        <w:spacing w:val="-1"/>
        <w:w w:val="100"/>
        <w:sz w:val="22"/>
        <w:szCs w:val="22"/>
        <w:lang w:val="nl-NL" w:eastAsia="en-US" w:bidi="ar-SA"/>
      </w:rPr>
    </w:lvl>
    <w:lvl w:ilvl="1">
      <w:start w:val="1"/>
      <w:numFmt w:val="decimal"/>
      <w:lvlText w:val="%1.%2"/>
      <w:lvlJc w:val="left"/>
      <w:pPr>
        <w:ind w:left="141" w:hanging="579"/>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358" w:hanging="579"/>
      </w:pPr>
      <w:rPr>
        <w:rFonts w:hint="default"/>
        <w:lang w:val="nl-NL" w:eastAsia="en-US" w:bidi="ar-SA"/>
      </w:rPr>
    </w:lvl>
    <w:lvl w:ilvl="3">
      <w:numFmt w:val="bullet"/>
      <w:lvlText w:val="•"/>
      <w:lvlJc w:val="left"/>
      <w:pPr>
        <w:ind w:left="2357" w:hanging="579"/>
      </w:pPr>
      <w:rPr>
        <w:rFonts w:hint="default"/>
        <w:lang w:val="nl-NL" w:eastAsia="en-US" w:bidi="ar-SA"/>
      </w:rPr>
    </w:lvl>
    <w:lvl w:ilvl="4">
      <w:numFmt w:val="bullet"/>
      <w:lvlText w:val="•"/>
      <w:lvlJc w:val="left"/>
      <w:pPr>
        <w:ind w:left="3356" w:hanging="579"/>
      </w:pPr>
      <w:rPr>
        <w:rFonts w:hint="default"/>
        <w:lang w:val="nl-NL" w:eastAsia="en-US" w:bidi="ar-SA"/>
      </w:rPr>
    </w:lvl>
    <w:lvl w:ilvl="5">
      <w:numFmt w:val="bullet"/>
      <w:lvlText w:val="•"/>
      <w:lvlJc w:val="left"/>
      <w:pPr>
        <w:ind w:left="4355" w:hanging="579"/>
      </w:pPr>
      <w:rPr>
        <w:rFonts w:hint="default"/>
        <w:lang w:val="nl-NL" w:eastAsia="en-US" w:bidi="ar-SA"/>
      </w:rPr>
    </w:lvl>
    <w:lvl w:ilvl="6">
      <w:numFmt w:val="bullet"/>
      <w:lvlText w:val="•"/>
      <w:lvlJc w:val="left"/>
      <w:pPr>
        <w:ind w:left="5354" w:hanging="579"/>
      </w:pPr>
      <w:rPr>
        <w:rFonts w:hint="default"/>
        <w:lang w:val="nl-NL" w:eastAsia="en-US" w:bidi="ar-SA"/>
      </w:rPr>
    </w:lvl>
    <w:lvl w:ilvl="7">
      <w:numFmt w:val="bullet"/>
      <w:lvlText w:val="•"/>
      <w:lvlJc w:val="left"/>
      <w:pPr>
        <w:ind w:left="6352" w:hanging="579"/>
      </w:pPr>
      <w:rPr>
        <w:rFonts w:hint="default"/>
        <w:lang w:val="nl-NL" w:eastAsia="en-US" w:bidi="ar-SA"/>
      </w:rPr>
    </w:lvl>
    <w:lvl w:ilvl="8">
      <w:numFmt w:val="bullet"/>
      <w:lvlText w:val="•"/>
      <w:lvlJc w:val="left"/>
      <w:pPr>
        <w:ind w:left="7351" w:hanging="579"/>
      </w:pPr>
      <w:rPr>
        <w:rFonts w:hint="default"/>
        <w:lang w:val="nl-NL" w:eastAsia="en-US" w:bidi="ar-SA"/>
      </w:rPr>
    </w:lvl>
  </w:abstractNum>
  <w:abstractNum w:abstractNumId="3" w15:restartNumberingAfterBreak="0">
    <w:nsid w:val="65F52731"/>
    <w:multiLevelType w:val="hybridMultilevel"/>
    <w:tmpl w:val="589E20E8"/>
    <w:lvl w:ilvl="0" w:tplc="B88427F4">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nl-NL" w:eastAsia="en-US" w:bidi="ar-SA"/>
      </w:rPr>
    </w:lvl>
    <w:lvl w:ilvl="1" w:tplc="20468030">
      <w:numFmt w:val="bullet"/>
      <w:lvlText w:val="•"/>
      <w:lvlJc w:val="left"/>
      <w:pPr>
        <w:ind w:left="1708" w:hanging="360"/>
      </w:pPr>
      <w:rPr>
        <w:rFonts w:hint="default"/>
        <w:lang w:val="nl-NL" w:eastAsia="en-US" w:bidi="ar-SA"/>
      </w:rPr>
    </w:lvl>
    <w:lvl w:ilvl="2" w:tplc="4D94A226">
      <w:numFmt w:val="bullet"/>
      <w:lvlText w:val="•"/>
      <w:lvlJc w:val="left"/>
      <w:pPr>
        <w:ind w:left="2557" w:hanging="360"/>
      </w:pPr>
      <w:rPr>
        <w:rFonts w:hint="default"/>
        <w:lang w:val="nl-NL" w:eastAsia="en-US" w:bidi="ar-SA"/>
      </w:rPr>
    </w:lvl>
    <w:lvl w:ilvl="3" w:tplc="27E6F0F8">
      <w:numFmt w:val="bullet"/>
      <w:lvlText w:val="•"/>
      <w:lvlJc w:val="left"/>
      <w:pPr>
        <w:ind w:left="3406" w:hanging="360"/>
      </w:pPr>
      <w:rPr>
        <w:rFonts w:hint="default"/>
        <w:lang w:val="nl-NL" w:eastAsia="en-US" w:bidi="ar-SA"/>
      </w:rPr>
    </w:lvl>
    <w:lvl w:ilvl="4" w:tplc="FF32D92A">
      <w:numFmt w:val="bullet"/>
      <w:lvlText w:val="•"/>
      <w:lvlJc w:val="left"/>
      <w:pPr>
        <w:ind w:left="4255" w:hanging="360"/>
      </w:pPr>
      <w:rPr>
        <w:rFonts w:hint="default"/>
        <w:lang w:val="nl-NL" w:eastAsia="en-US" w:bidi="ar-SA"/>
      </w:rPr>
    </w:lvl>
    <w:lvl w:ilvl="5" w:tplc="DC924D8A">
      <w:numFmt w:val="bullet"/>
      <w:lvlText w:val="•"/>
      <w:lvlJc w:val="left"/>
      <w:pPr>
        <w:ind w:left="5104" w:hanging="360"/>
      </w:pPr>
      <w:rPr>
        <w:rFonts w:hint="default"/>
        <w:lang w:val="nl-NL" w:eastAsia="en-US" w:bidi="ar-SA"/>
      </w:rPr>
    </w:lvl>
    <w:lvl w:ilvl="6" w:tplc="2F02C566">
      <w:numFmt w:val="bullet"/>
      <w:lvlText w:val="•"/>
      <w:lvlJc w:val="left"/>
      <w:pPr>
        <w:ind w:left="5953" w:hanging="360"/>
      </w:pPr>
      <w:rPr>
        <w:rFonts w:hint="default"/>
        <w:lang w:val="nl-NL" w:eastAsia="en-US" w:bidi="ar-SA"/>
      </w:rPr>
    </w:lvl>
    <w:lvl w:ilvl="7" w:tplc="870A0BC4">
      <w:numFmt w:val="bullet"/>
      <w:lvlText w:val="•"/>
      <w:lvlJc w:val="left"/>
      <w:pPr>
        <w:ind w:left="6802" w:hanging="360"/>
      </w:pPr>
      <w:rPr>
        <w:rFonts w:hint="default"/>
        <w:lang w:val="nl-NL" w:eastAsia="en-US" w:bidi="ar-SA"/>
      </w:rPr>
    </w:lvl>
    <w:lvl w:ilvl="8" w:tplc="A3F8F170">
      <w:numFmt w:val="bullet"/>
      <w:lvlText w:val="•"/>
      <w:lvlJc w:val="left"/>
      <w:pPr>
        <w:ind w:left="7651" w:hanging="360"/>
      </w:pPr>
      <w:rPr>
        <w:rFonts w:hint="default"/>
        <w:lang w:val="nl-NL" w:eastAsia="en-US" w:bidi="ar-SA"/>
      </w:rPr>
    </w:lvl>
  </w:abstractNum>
  <w:abstractNum w:abstractNumId="4" w15:restartNumberingAfterBreak="0">
    <w:nsid w:val="6A0A5250"/>
    <w:multiLevelType w:val="hybridMultilevel"/>
    <w:tmpl w:val="00C256E2"/>
    <w:lvl w:ilvl="0" w:tplc="7ACEC8E6">
      <w:start w:val="1"/>
      <w:numFmt w:val="decimal"/>
      <w:lvlText w:val="%1."/>
      <w:lvlJc w:val="left"/>
      <w:pPr>
        <w:ind w:left="783" w:hanging="641"/>
      </w:pPr>
      <w:rPr>
        <w:rFonts w:ascii="Calibri" w:eastAsia="Calibri" w:hAnsi="Calibri" w:cs="Calibri" w:hint="default"/>
        <w:b w:val="0"/>
        <w:bCs w:val="0"/>
        <w:i w:val="0"/>
        <w:iCs w:val="0"/>
        <w:spacing w:val="0"/>
        <w:w w:val="100"/>
        <w:sz w:val="22"/>
        <w:szCs w:val="22"/>
        <w:lang w:val="nl-NL" w:eastAsia="en-US" w:bidi="ar-SA"/>
      </w:rPr>
    </w:lvl>
    <w:lvl w:ilvl="1" w:tplc="C63EDDD8">
      <w:numFmt w:val="bullet"/>
      <w:lvlText w:val="•"/>
      <w:lvlJc w:val="left"/>
      <w:pPr>
        <w:ind w:left="1636" w:hanging="641"/>
      </w:pPr>
      <w:rPr>
        <w:rFonts w:hint="default"/>
        <w:lang w:val="nl-NL" w:eastAsia="en-US" w:bidi="ar-SA"/>
      </w:rPr>
    </w:lvl>
    <w:lvl w:ilvl="2" w:tplc="53E4D900">
      <w:numFmt w:val="bullet"/>
      <w:lvlText w:val="•"/>
      <w:lvlJc w:val="left"/>
      <w:pPr>
        <w:ind w:left="2493" w:hanging="641"/>
      </w:pPr>
      <w:rPr>
        <w:rFonts w:hint="default"/>
        <w:lang w:val="nl-NL" w:eastAsia="en-US" w:bidi="ar-SA"/>
      </w:rPr>
    </w:lvl>
    <w:lvl w:ilvl="3" w:tplc="5EBE27D0">
      <w:numFmt w:val="bullet"/>
      <w:lvlText w:val="•"/>
      <w:lvlJc w:val="left"/>
      <w:pPr>
        <w:ind w:left="3350" w:hanging="641"/>
      </w:pPr>
      <w:rPr>
        <w:rFonts w:hint="default"/>
        <w:lang w:val="nl-NL" w:eastAsia="en-US" w:bidi="ar-SA"/>
      </w:rPr>
    </w:lvl>
    <w:lvl w:ilvl="4" w:tplc="CF9663EE">
      <w:numFmt w:val="bullet"/>
      <w:lvlText w:val="•"/>
      <w:lvlJc w:val="left"/>
      <w:pPr>
        <w:ind w:left="4207" w:hanging="641"/>
      </w:pPr>
      <w:rPr>
        <w:rFonts w:hint="default"/>
        <w:lang w:val="nl-NL" w:eastAsia="en-US" w:bidi="ar-SA"/>
      </w:rPr>
    </w:lvl>
    <w:lvl w:ilvl="5" w:tplc="225C6D18">
      <w:numFmt w:val="bullet"/>
      <w:lvlText w:val="•"/>
      <w:lvlJc w:val="left"/>
      <w:pPr>
        <w:ind w:left="5064" w:hanging="641"/>
      </w:pPr>
      <w:rPr>
        <w:rFonts w:hint="default"/>
        <w:lang w:val="nl-NL" w:eastAsia="en-US" w:bidi="ar-SA"/>
      </w:rPr>
    </w:lvl>
    <w:lvl w:ilvl="6" w:tplc="D0CA88C6">
      <w:numFmt w:val="bullet"/>
      <w:lvlText w:val="•"/>
      <w:lvlJc w:val="left"/>
      <w:pPr>
        <w:ind w:left="5921" w:hanging="641"/>
      </w:pPr>
      <w:rPr>
        <w:rFonts w:hint="default"/>
        <w:lang w:val="nl-NL" w:eastAsia="en-US" w:bidi="ar-SA"/>
      </w:rPr>
    </w:lvl>
    <w:lvl w:ilvl="7" w:tplc="92A0828E">
      <w:numFmt w:val="bullet"/>
      <w:lvlText w:val="•"/>
      <w:lvlJc w:val="left"/>
      <w:pPr>
        <w:ind w:left="6778" w:hanging="641"/>
      </w:pPr>
      <w:rPr>
        <w:rFonts w:hint="default"/>
        <w:lang w:val="nl-NL" w:eastAsia="en-US" w:bidi="ar-SA"/>
      </w:rPr>
    </w:lvl>
    <w:lvl w:ilvl="8" w:tplc="24089C88">
      <w:numFmt w:val="bullet"/>
      <w:lvlText w:val="•"/>
      <w:lvlJc w:val="left"/>
      <w:pPr>
        <w:ind w:left="7635" w:hanging="641"/>
      </w:pPr>
      <w:rPr>
        <w:rFonts w:hint="default"/>
        <w:lang w:val="nl-NL" w:eastAsia="en-US" w:bidi="ar-SA"/>
      </w:rPr>
    </w:lvl>
  </w:abstractNum>
  <w:num w:numId="1" w16cid:durableId="929966852">
    <w:abstractNumId w:val="4"/>
  </w:num>
  <w:num w:numId="2" w16cid:durableId="1210218664">
    <w:abstractNumId w:val="2"/>
  </w:num>
  <w:num w:numId="3" w16cid:durableId="641498613">
    <w:abstractNumId w:val="0"/>
  </w:num>
  <w:num w:numId="4" w16cid:durableId="742996739">
    <w:abstractNumId w:val="3"/>
  </w:num>
  <w:num w:numId="5" w16cid:durableId="1222984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40"/>
    <w:rsid w:val="00004420"/>
    <w:rsid w:val="000256EC"/>
    <w:rsid w:val="000272AF"/>
    <w:rsid w:val="0005685A"/>
    <w:rsid w:val="00097357"/>
    <w:rsid w:val="000B33C0"/>
    <w:rsid w:val="000B565F"/>
    <w:rsid w:val="000D00C4"/>
    <w:rsid w:val="000D07EF"/>
    <w:rsid w:val="000D0BAC"/>
    <w:rsid w:val="001B052D"/>
    <w:rsid w:val="002C6754"/>
    <w:rsid w:val="003A7B37"/>
    <w:rsid w:val="003C79A4"/>
    <w:rsid w:val="003C7A95"/>
    <w:rsid w:val="003F473D"/>
    <w:rsid w:val="003F555F"/>
    <w:rsid w:val="00413D40"/>
    <w:rsid w:val="00425BCD"/>
    <w:rsid w:val="004642F6"/>
    <w:rsid w:val="00496CBF"/>
    <w:rsid w:val="004A360C"/>
    <w:rsid w:val="004B7794"/>
    <w:rsid w:val="004F0620"/>
    <w:rsid w:val="005024B5"/>
    <w:rsid w:val="00512AD3"/>
    <w:rsid w:val="00522E4E"/>
    <w:rsid w:val="00525DDC"/>
    <w:rsid w:val="005505B6"/>
    <w:rsid w:val="00561A78"/>
    <w:rsid w:val="005742EA"/>
    <w:rsid w:val="005A71DB"/>
    <w:rsid w:val="005C4263"/>
    <w:rsid w:val="00635197"/>
    <w:rsid w:val="00654FF5"/>
    <w:rsid w:val="00665DB7"/>
    <w:rsid w:val="00680E0B"/>
    <w:rsid w:val="006A01E4"/>
    <w:rsid w:val="006A7BAC"/>
    <w:rsid w:val="00781F0C"/>
    <w:rsid w:val="007D030E"/>
    <w:rsid w:val="00815B82"/>
    <w:rsid w:val="00861D40"/>
    <w:rsid w:val="0088339A"/>
    <w:rsid w:val="008A2829"/>
    <w:rsid w:val="008C4550"/>
    <w:rsid w:val="008C6291"/>
    <w:rsid w:val="008F0249"/>
    <w:rsid w:val="009B07D3"/>
    <w:rsid w:val="009E2972"/>
    <w:rsid w:val="009F2C63"/>
    <w:rsid w:val="00A135AC"/>
    <w:rsid w:val="00A31D89"/>
    <w:rsid w:val="00AC7DB5"/>
    <w:rsid w:val="00AC7F0E"/>
    <w:rsid w:val="00B0292F"/>
    <w:rsid w:val="00B12590"/>
    <w:rsid w:val="00B447D2"/>
    <w:rsid w:val="00B44DEE"/>
    <w:rsid w:val="00B53B06"/>
    <w:rsid w:val="00B9369F"/>
    <w:rsid w:val="00BA5C3C"/>
    <w:rsid w:val="00BC5A3E"/>
    <w:rsid w:val="00BF051E"/>
    <w:rsid w:val="00C2434B"/>
    <w:rsid w:val="00C459BB"/>
    <w:rsid w:val="00CB5A93"/>
    <w:rsid w:val="00D149BB"/>
    <w:rsid w:val="00D20A04"/>
    <w:rsid w:val="00D26A35"/>
    <w:rsid w:val="00D75723"/>
    <w:rsid w:val="00DA0F27"/>
    <w:rsid w:val="00DB6147"/>
    <w:rsid w:val="00DE0B58"/>
    <w:rsid w:val="00DE3627"/>
    <w:rsid w:val="00E1795A"/>
    <w:rsid w:val="00E5070F"/>
    <w:rsid w:val="00E85FAC"/>
    <w:rsid w:val="00EE71A1"/>
    <w:rsid w:val="00FE5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9F73"/>
  <w15:docId w15:val="{913C4D44-62FF-4682-B526-C327AC1A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1"/>
    </w:pPr>
  </w:style>
  <w:style w:type="paragraph" w:styleId="ListParagraph">
    <w:name w:val="List Paragraph"/>
    <w:basedOn w:val="Normal"/>
    <w:uiPriority w:val="1"/>
    <w:qFormat/>
    <w:pPr>
      <w:ind w:left="360" w:hanging="219"/>
    </w:pPr>
  </w:style>
  <w:style w:type="paragraph" w:customStyle="1" w:styleId="TableParagraph">
    <w:name w:val="Table Paragraph"/>
    <w:basedOn w:val="Normal"/>
    <w:uiPriority w:val="1"/>
    <w:qFormat/>
    <w:pPr>
      <w:spacing w:line="268" w:lineRule="exact"/>
      <w:ind w:left="108"/>
    </w:pPr>
  </w:style>
  <w:style w:type="paragraph" w:styleId="Revision">
    <w:name w:val="Revision"/>
    <w:hidden/>
    <w:uiPriority w:val="99"/>
    <w:semiHidden/>
    <w:rsid w:val="00E85FAC"/>
    <w:pPr>
      <w:widowControl/>
      <w:autoSpaceDE/>
      <w:autoSpaceDN/>
    </w:pPr>
    <w:rPr>
      <w:rFonts w:ascii="Calibri" w:eastAsia="Calibri" w:hAnsi="Calibri" w:cs="Calibri"/>
      <w:lang w:val="nl-NL"/>
    </w:rPr>
  </w:style>
  <w:style w:type="character" w:styleId="CommentReference">
    <w:name w:val="annotation reference"/>
    <w:basedOn w:val="DefaultParagraphFont"/>
    <w:uiPriority w:val="99"/>
    <w:semiHidden/>
    <w:unhideWhenUsed/>
    <w:rsid w:val="00DE0B58"/>
    <w:rPr>
      <w:sz w:val="16"/>
      <w:szCs w:val="16"/>
    </w:rPr>
  </w:style>
  <w:style w:type="paragraph" w:styleId="CommentText">
    <w:name w:val="annotation text"/>
    <w:basedOn w:val="Normal"/>
    <w:link w:val="CommentTextChar"/>
    <w:uiPriority w:val="99"/>
    <w:unhideWhenUsed/>
    <w:rsid w:val="00DE0B58"/>
    <w:rPr>
      <w:sz w:val="20"/>
      <w:szCs w:val="20"/>
    </w:rPr>
  </w:style>
  <w:style w:type="character" w:customStyle="1" w:styleId="CommentTextChar">
    <w:name w:val="Comment Text Char"/>
    <w:basedOn w:val="DefaultParagraphFont"/>
    <w:link w:val="CommentText"/>
    <w:uiPriority w:val="99"/>
    <w:rsid w:val="00DE0B58"/>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0B58"/>
    <w:rPr>
      <w:b/>
      <w:bCs/>
    </w:rPr>
  </w:style>
  <w:style w:type="character" w:customStyle="1" w:styleId="CommentSubjectChar">
    <w:name w:val="Comment Subject Char"/>
    <w:basedOn w:val="CommentTextChar"/>
    <w:link w:val="CommentSubject"/>
    <w:uiPriority w:val="99"/>
    <w:semiHidden/>
    <w:rsid w:val="00DE0B58"/>
    <w:rPr>
      <w:rFonts w:ascii="Calibri" w:eastAsia="Calibri" w:hAnsi="Calibri" w:cs="Calibr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2413</Words>
  <Characters>13277</Characters>
  <Application>Microsoft Office Word</Application>
  <DocSecurity>0</DocSecurity>
  <Lines>110</Lines>
  <Paragraphs>31</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
      <vt:lpstr>Versiegeschiedenis</vt:lpstr>
      <vt:lpstr>Burosumab bij kinderen en adolescenten</vt:lpstr>
      <vt:lpstr>Burosumab bij volwassenen</vt:lpstr>
      <vt:lpstr>Indicatiecommissie</vt:lpstr>
      <vt:lpstr>Behandelcentra</vt:lpstr>
      <vt:lpstr>Registratie</vt:lpstr>
      <vt:lpstr>Referenties</vt:lpstr>
    </vt:vector>
  </TitlesOfParts>
  <Company>Erasmus MC</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 AM</dc:creator>
  <cp:lastModifiedBy>Evert van Velsen</cp:lastModifiedBy>
  <cp:revision>5</cp:revision>
  <dcterms:created xsi:type="dcterms:W3CDTF">2025-10-31T15:57:00Z</dcterms:created>
  <dcterms:modified xsi:type="dcterms:W3CDTF">2025-10-31T15:59:00Z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voor Microsoft 365</vt:lpwstr>
  </property>
  <property fmtid="{D5CDD505-2E9C-101B-9397-08002B2CF9AE}" pid="4" name="LastSaved">
    <vt:filetime>2025-06-30T00:00:00Z</vt:filetime>
  </property>
  <property fmtid="{D5CDD505-2E9C-101B-9397-08002B2CF9AE}" pid="5" name="Producer">
    <vt:lpwstr>Microsoft® Word voor Microsoft 365</vt:lpwstr>
  </property>
</Properties>
</file>